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4A7" w14:textId="07228F73" w:rsidR="0094313D" w:rsidRDefault="00A921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 Whatu Ora- Otago/Southland Health District </w:t>
      </w:r>
      <w:r w:rsidR="00BE5C1A" w:rsidRPr="006707CC">
        <w:rPr>
          <w:b/>
          <w:bCs/>
          <w:sz w:val="28"/>
          <w:szCs w:val="28"/>
        </w:rPr>
        <w:t xml:space="preserve">Covid-19 Vaccination Programme </w:t>
      </w:r>
    </w:p>
    <w:p w14:paraId="1947FF57" w14:textId="34CF6D2A" w:rsidR="00BE5C1A" w:rsidRPr="006707CC" w:rsidRDefault="00BE5C1A">
      <w:pPr>
        <w:rPr>
          <w:b/>
          <w:bCs/>
          <w:sz w:val="28"/>
          <w:szCs w:val="28"/>
        </w:rPr>
      </w:pPr>
      <w:r w:rsidRPr="006707CC">
        <w:rPr>
          <w:b/>
          <w:bCs/>
          <w:sz w:val="28"/>
          <w:szCs w:val="28"/>
        </w:rPr>
        <w:t>Provider Preparedness Checklist</w:t>
      </w:r>
      <w:r w:rsidR="007B255E">
        <w:rPr>
          <w:b/>
          <w:bCs/>
          <w:sz w:val="28"/>
          <w:szCs w:val="28"/>
        </w:rPr>
        <w:t xml:space="preserve">- </w:t>
      </w:r>
      <w:r w:rsidR="00B65277">
        <w:rPr>
          <w:b/>
          <w:bCs/>
          <w:sz w:val="28"/>
          <w:szCs w:val="28"/>
        </w:rPr>
        <w:t>Comirnaty vaccine changes: from purple cap to two grey gap formulations</w:t>
      </w:r>
      <w:r w:rsidR="00AD66B9">
        <w:rPr>
          <w:b/>
          <w:bCs/>
          <w:sz w:val="28"/>
          <w:szCs w:val="28"/>
        </w:rPr>
        <w:t>,</w:t>
      </w:r>
      <w:r w:rsidR="00B65277">
        <w:rPr>
          <w:b/>
          <w:bCs/>
          <w:sz w:val="28"/>
          <w:szCs w:val="28"/>
        </w:rPr>
        <w:t xml:space="preserve"> 1st March 2023 </w:t>
      </w:r>
    </w:p>
    <w:p w14:paraId="7A1B6194" w14:textId="0EA5E50B" w:rsidR="00BE5C1A" w:rsidRDefault="00BE5C1A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3117"/>
        <w:gridCol w:w="1279"/>
        <w:gridCol w:w="2261"/>
      </w:tblGrid>
      <w:tr w:rsidR="00D7228F" w:rsidRPr="00D7228F" w14:paraId="1842FE53" w14:textId="77777777" w:rsidTr="001F4E0C">
        <w:trPr>
          <w:cantSplit/>
          <w:trHeight w:val="42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22F6D1" w14:textId="77777777" w:rsidR="00D7228F" w:rsidRPr="00D7228F" w:rsidRDefault="00D7228F" w:rsidP="00D7228F">
            <w:pPr>
              <w:keepNext/>
              <w:spacing w:before="40" w:after="40" w:line="252" w:lineRule="auto"/>
              <w:rPr>
                <w:rFonts w:eastAsia="Times New Roman" w:cstheme="minorHAnsi"/>
                <w:lang w:eastAsia="en-GB"/>
              </w:rPr>
            </w:pPr>
            <w:r w:rsidRPr="00D7228F">
              <w:rPr>
                <w:rFonts w:eastAsia="Times New Roman" w:cstheme="minorHAnsi"/>
                <w:lang w:eastAsia="en-GB"/>
              </w:rPr>
              <w:t>Name of provider: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C7F" w14:textId="77777777" w:rsidR="00D7228F" w:rsidRPr="00D7228F" w:rsidRDefault="00D7228F" w:rsidP="00D7228F">
            <w:pPr>
              <w:keepNext/>
              <w:spacing w:before="40" w:after="40" w:line="252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7228F" w:rsidRPr="00D7228F" w14:paraId="385F4B7D" w14:textId="77777777" w:rsidTr="00D7228F">
        <w:trPr>
          <w:cantSplit/>
          <w:trHeight w:val="63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A27C52" w14:textId="196A80E8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lang w:eastAsia="en-GB"/>
              </w:rPr>
            </w:pPr>
            <w:r w:rsidRPr="00D7228F">
              <w:rPr>
                <w:rFonts w:eastAsia="Times New Roman" w:cstheme="minorHAnsi"/>
                <w:lang w:eastAsia="en-GB"/>
              </w:rPr>
              <w:t>Name of individual(s) completing the checklist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150" w14:textId="77777777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3E66B7" w14:textId="77777777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lang w:eastAsia="en-GB"/>
              </w:rPr>
            </w:pPr>
            <w:r w:rsidRPr="00D7228F">
              <w:rPr>
                <w:rFonts w:eastAsia="Times New Roman" w:cstheme="minorHAnsi"/>
                <w:lang w:eastAsia="en-GB"/>
              </w:rPr>
              <w:t>Designation: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D59" w14:textId="77777777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7228F" w:rsidRPr="00D7228F" w14:paraId="2DFEE654" w14:textId="77777777" w:rsidTr="001F4E0C">
        <w:trPr>
          <w:cantSplit/>
          <w:trHeight w:val="63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DFD36D" w14:textId="5C5FC847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lang w:eastAsia="en-GB"/>
              </w:rPr>
            </w:pPr>
            <w:r w:rsidRPr="00D7228F">
              <w:rPr>
                <w:rFonts w:eastAsia="Times New Roman" w:cstheme="minorHAnsi"/>
                <w:lang w:eastAsia="en-GB"/>
              </w:rPr>
              <w:t>Date checklist completed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E58" w14:textId="77777777" w:rsidR="00D7228F" w:rsidRPr="00D7228F" w:rsidRDefault="00D7228F" w:rsidP="00D7228F">
            <w:pPr>
              <w:spacing w:before="40" w:after="40" w:line="252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08AD4B00" w14:textId="77777777" w:rsidR="00D7228F" w:rsidRDefault="00D72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C1A" w14:paraId="0B1187CF" w14:textId="77777777" w:rsidTr="00BE5C1A">
        <w:tc>
          <w:tcPr>
            <w:tcW w:w="4508" w:type="dxa"/>
          </w:tcPr>
          <w:p w14:paraId="077B54B8" w14:textId="455AADB0" w:rsidR="00BE5C1A" w:rsidRPr="00545B05" w:rsidRDefault="00934C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Preparing for the change</w:t>
            </w:r>
            <w:r w:rsidR="00C412A1" w:rsidRPr="00545B0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14:paraId="216DC454" w14:textId="33209A1E" w:rsidR="00BE5C1A" w:rsidRPr="006707CC" w:rsidRDefault="006707CC">
            <w:pPr>
              <w:rPr>
                <w:b/>
                <w:bCs/>
                <w:sz w:val="28"/>
                <w:szCs w:val="28"/>
              </w:rPr>
            </w:pPr>
            <w:r w:rsidRPr="006707CC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BE5C1A" w14:paraId="285A2C20" w14:textId="77777777" w:rsidTr="00BE5C1A">
        <w:tc>
          <w:tcPr>
            <w:tcW w:w="4508" w:type="dxa"/>
          </w:tcPr>
          <w:p w14:paraId="3A93DA01" w14:textId="3E74007F" w:rsidR="00BE5C1A" w:rsidRDefault="00934C3D">
            <w:r>
              <w:t xml:space="preserve">Ordering of </w:t>
            </w:r>
            <w:r w:rsidR="005910C3">
              <w:t xml:space="preserve">new </w:t>
            </w:r>
            <w:r>
              <w:t xml:space="preserve">grey cap vaccines </w:t>
            </w:r>
            <w:r w:rsidR="0045275A">
              <w:t xml:space="preserve">has been </w:t>
            </w:r>
            <w:r>
              <w:t>completed</w:t>
            </w:r>
          </w:p>
        </w:tc>
        <w:tc>
          <w:tcPr>
            <w:tcW w:w="4508" w:type="dxa"/>
          </w:tcPr>
          <w:p w14:paraId="551F2EFB" w14:textId="77777777" w:rsidR="00BE5C1A" w:rsidRDefault="00BE5C1A"/>
        </w:tc>
      </w:tr>
      <w:tr w:rsidR="00BE5C1A" w14:paraId="4F7B0A49" w14:textId="77777777" w:rsidTr="00BE5C1A">
        <w:tc>
          <w:tcPr>
            <w:tcW w:w="4508" w:type="dxa"/>
          </w:tcPr>
          <w:p w14:paraId="265B9268" w14:textId="6A33344E" w:rsidR="00BE5C1A" w:rsidRDefault="00934C3D">
            <w:r>
              <w:t>Comirnaty 30mcg (12+years) available for primary doses</w:t>
            </w:r>
            <w:r w:rsidR="005910C3">
              <w:t xml:space="preserve"> from 1 March 2023</w:t>
            </w:r>
            <w:r w:rsidR="00E7428B">
              <w:t xml:space="preserve"> (IN VACCINE FRIDGE)</w:t>
            </w:r>
          </w:p>
        </w:tc>
        <w:tc>
          <w:tcPr>
            <w:tcW w:w="4508" w:type="dxa"/>
          </w:tcPr>
          <w:p w14:paraId="220C5DE6" w14:textId="77777777" w:rsidR="00BE5C1A" w:rsidRDefault="00BE5C1A"/>
        </w:tc>
      </w:tr>
      <w:tr w:rsidR="00A9212B" w14:paraId="52D4D2C2" w14:textId="77777777" w:rsidTr="00BE5C1A">
        <w:tc>
          <w:tcPr>
            <w:tcW w:w="4508" w:type="dxa"/>
          </w:tcPr>
          <w:p w14:paraId="3639C2E0" w14:textId="393D1333" w:rsidR="00A9212B" w:rsidRDefault="00934C3D">
            <w:r>
              <w:t xml:space="preserve">Comirnaty 15/15mcg (16+ years if eligible) </w:t>
            </w:r>
            <w:r w:rsidR="00B4092C">
              <w:t xml:space="preserve">available </w:t>
            </w:r>
            <w:r>
              <w:t xml:space="preserve">for booster doses </w:t>
            </w:r>
            <w:r w:rsidR="005910C3">
              <w:t>from 1 March 2023</w:t>
            </w:r>
            <w:r w:rsidR="00E7428B">
              <w:t xml:space="preserve"> (IN VACCINE FRIDGE)</w:t>
            </w:r>
          </w:p>
        </w:tc>
        <w:tc>
          <w:tcPr>
            <w:tcW w:w="4508" w:type="dxa"/>
          </w:tcPr>
          <w:p w14:paraId="60F5DAB9" w14:textId="77777777" w:rsidR="00A9212B" w:rsidRDefault="00A9212B"/>
        </w:tc>
      </w:tr>
      <w:tr w:rsidR="00BE5C1A" w14:paraId="485B4BFA" w14:textId="77777777" w:rsidTr="00BE5C1A">
        <w:tc>
          <w:tcPr>
            <w:tcW w:w="4508" w:type="dxa"/>
          </w:tcPr>
          <w:p w14:paraId="3E46622B" w14:textId="5B980B93" w:rsidR="00BE5C1A" w:rsidRDefault="00934C3D">
            <w:r>
              <w:t xml:space="preserve">Keep using the Comirnaty (12+years) purple cap vaccine until </w:t>
            </w:r>
            <w:r w:rsidR="005910C3">
              <w:t xml:space="preserve">end of day </w:t>
            </w:r>
            <w:r>
              <w:t>28 February 2023</w:t>
            </w:r>
          </w:p>
        </w:tc>
        <w:tc>
          <w:tcPr>
            <w:tcW w:w="4508" w:type="dxa"/>
          </w:tcPr>
          <w:p w14:paraId="2D30E8AF" w14:textId="77777777" w:rsidR="00BE5C1A" w:rsidRDefault="00BE5C1A"/>
        </w:tc>
      </w:tr>
      <w:tr w:rsidR="00BE5C1A" w14:paraId="48564AFA" w14:textId="77777777" w:rsidTr="00BE5C1A">
        <w:tc>
          <w:tcPr>
            <w:tcW w:w="4508" w:type="dxa"/>
          </w:tcPr>
          <w:p w14:paraId="717E9DD1" w14:textId="1D3A2B6E" w:rsidR="00BE5C1A" w:rsidRDefault="00B727F7">
            <w:r>
              <w:t xml:space="preserve">Comirnaty (12+ years) purple cap vaccine - Appropriately trained staff allocated at the end of the day 28 February to </w:t>
            </w:r>
            <w:r w:rsidR="005910C3">
              <w:t xml:space="preserve">remove from vaccine fridge and </w:t>
            </w:r>
            <w:r>
              <w:t>dispose of all purple cap vaccine vials in the Interwaste vial disposal bins and recorded as wastage in the CIR</w:t>
            </w:r>
            <w:r w:rsidR="005910C3">
              <w:t xml:space="preserve"> inventory</w:t>
            </w:r>
          </w:p>
        </w:tc>
        <w:tc>
          <w:tcPr>
            <w:tcW w:w="4508" w:type="dxa"/>
          </w:tcPr>
          <w:p w14:paraId="21795FA0" w14:textId="77777777" w:rsidR="00BE5C1A" w:rsidRDefault="00BE5C1A"/>
        </w:tc>
      </w:tr>
      <w:tr w:rsidR="00BE5C1A" w14:paraId="65B0C5FB" w14:textId="77777777" w:rsidTr="00BE5C1A">
        <w:tc>
          <w:tcPr>
            <w:tcW w:w="4508" w:type="dxa"/>
          </w:tcPr>
          <w:p w14:paraId="31872818" w14:textId="3A2E6580" w:rsidR="00C412A1" w:rsidRDefault="005910C3">
            <w:r>
              <w:t>W</w:t>
            </w:r>
            <w:r w:rsidR="00B727F7">
              <w:t xml:space="preserve">hen wasting any COVID </w:t>
            </w:r>
            <w:r>
              <w:t>v</w:t>
            </w:r>
            <w:r w:rsidR="00B727F7">
              <w:t xml:space="preserve">accines </w:t>
            </w:r>
            <w:r>
              <w:t xml:space="preserve">ensure </w:t>
            </w:r>
            <w:r w:rsidR="00B727F7">
              <w:t>they are disposed of in the 20 litre vial buckets</w:t>
            </w:r>
          </w:p>
        </w:tc>
        <w:tc>
          <w:tcPr>
            <w:tcW w:w="4508" w:type="dxa"/>
          </w:tcPr>
          <w:p w14:paraId="291A014E" w14:textId="77777777" w:rsidR="00BE5C1A" w:rsidRDefault="00BE5C1A"/>
        </w:tc>
      </w:tr>
      <w:tr w:rsidR="00AD7869" w14:paraId="0D288AAA" w14:textId="77777777" w:rsidTr="00BE5C1A">
        <w:tc>
          <w:tcPr>
            <w:tcW w:w="4508" w:type="dxa"/>
          </w:tcPr>
          <w:p w14:paraId="7BF5AB3F" w14:textId="78B0440C" w:rsidR="00AD7869" w:rsidRDefault="00E7428B">
            <w:r>
              <w:t xml:space="preserve">New collateral has been ordered- </w:t>
            </w:r>
            <w:proofErr w:type="gramStart"/>
            <w:r>
              <w:t>e.g.</w:t>
            </w:r>
            <w:proofErr w:type="gramEnd"/>
            <w:r>
              <w:t xml:space="preserve"> colour coded syringe labels</w:t>
            </w:r>
          </w:p>
        </w:tc>
        <w:tc>
          <w:tcPr>
            <w:tcW w:w="4508" w:type="dxa"/>
          </w:tcPr>
          <w:p w14:paraId="1AB782FB" w14:textId="77777777" w:rsidR="00AD7869" w:rsidRDefault="00AD7869"/>
        </w:tc>
      </w:tr>
      <w:tr w:rsidR="00BE5C1A" w14:paraId="78451DA7" w14:textId="77777777" w:rsidTr="00BE5C1A">
        <w:tc>
          <w:tcPr>
            <w:tcW w:w="4508" w:type="dxa"/>
          </w:tcPr>
          <w:p w14:paraId="09A54461" w14:textId="77777777" w:rsidR="00BE5C1A" w:rsidRDefault="00B727F7">
            <w:r>
              <w:t>Ensure all collateral resources</w:t>
            </w:r>
            <w:r w:rsidR="00E7428B">
              <w:t xml:space="preserve"> are current versions</w:t>
            </w:r>
            <w:r>
              <w:t xml:space="preserve"> – fact sheets; posters; vaccine preparation guides; screening guide</w:t>
            </w:r>
            <w:r w:rsidR="00C9415F">
              <w:t>; consent form</w:t>
            </w:r>
            <w:r>
              <w:t xml:space="preserve"> </w:t>
            </w:r>
            <w:r w:rsidR="00E7428B">
              <w:t xml:space="preserve"> </w:t>
            </w:r>
          </w:p>
          <w:p w14:paraId="1AE92264" w14:textId="77777777" w:rsidR="00993A42" w:rsidRDefault="00375A89" w:rsidP="00993A42">
            <w:pPr>
              <w:rPr>
                <w:sz w:val="24"/>
                <w:szCs w:val="24"/>
              </w:rPr>
            </w:pPr>
            <w:hyperlink r:id="rId8" w:history="1">
              <w:r w:rsidR="00993A42">
                <w:rPr>
                  <w:rStyle w:val="Hyperlink"/>
                </w:rPr>
                <w:t>Dropbox – National Immunisation Programme – Vaccine resources – Simplify your life</w:t>
              </w:r>
            </w:hyperlink>
          </w:p>
          <w:p w14:paraId="49A81450" w14:textId="292849D5" w:rsidR="00993A42" w:rsidRDefault="00993A42"/>
        </w:tc>
        <w:tc>
          <w:tcPr>
            <w:tcW w:w="4508" w:type="dxa"/>
          </w:tcPr>
          <w:p w14:paraId="50200AA4" w14:textId="77777777" w:rsidR="00BE5C1A" w:rsidRDefault="00BE5C1A"/>
        </w:tc>
      </w:tr>
      <w:tr w:rsidR="00BE5C1A" w14:paraId="4F66A737" w14:textId="77777777" w:rsidTr="00BE5C1A">
        <w:tc>
          <w:tcPr>
            <w:tcW w:w="4508" w:type="dxa"/>
          </w:tcPr>
          <w:p w14:paraId="0E8F74F9" w14:textId="0BDD3A59" w:rsidR="00BE5C1A" w:rsidRDefault="00B727F7">
            <w:r>
              <w:t xml:space="preserve">Dispose </w:t>
            </w:r>
            <w:r w:rsidR="005910C3">
              <w:t xml:space="preserve">of all </w:t>
            </w:r>
            <w:proofErr w:type="gramStart"/>
            <w:r w:rsidR="005910C3">
              <w:t>out of date</w:t>
            </w:r>
            <w:proofErr w:type="gramEnd"/>
            <w:r w:rsidR="005910C3">
              <w:t xml:space="preserve"> collateral</w:t>
            </w:r>
          </w:p>
        </w:tc>
        <w:tc>
          <w:tcPr>
            <w:tcW w:w="4508" w:type="dxa"/>
          </w:tcPr>
          <w:p w14:paraId="30873E1D" w14:textId="77777777" w:rsidR="00BE5C1A" w:rsidRDefault="00BE5C1A"/>
        </w:tc>
      </w:tr>
      <w:tr w:rsidR="00BE5C1A" w14:paraId="2716170B" w14:textId="77777777" w:rsidTr="00BE5C1A">
        <w:tc>
          <w:tcPr>
            <w:tcW w:w="4508" w:type="dxa"/>
          </w:tcPr>
          <w:p w14:paraId="3029CA2A" w14:textId="14628D13" w:rsidR="00C412A1" w:rsidRDefault="00E7428B" w:rsidP="005910C3">
            <w:r>
              <w:t xml:space="preserve">Would you like the southern COVID vaccination team to visit your site to support disposal of </w:t>
            </w:r>
            <w:proofErr w:type="gramStart"/>
            <w:r>
              <w:t>out of date</w:t>
            </w:r>
            <w:proofErr w:type="gramEnd"/>
            <w:r>
              <w:t xml:space="preserve"> collateral?</w:t>
            </w:r>
          </w:p>
        </w:tc>
        <w:tc>
          <w:tcPr>
            <w:tcW w:w="4508" w:type="dxa"/>
          </w:tcPr>
          <w:p w14:paraId="4E3D7749" w14:textId="77777777" w:rsidR="00BE5C1A" w:rsidRDefault="00BE5C1A"/>
        </w:tc>
      </w:tr>
      <w:tr w:rsidR="00BE5C1A" w14:paraId="12F92641" w14:textId="77777777" w:rsidTr="00BE5C1A">
        <w:tc>
          <w:tcPr>
            <w:tcW w:w="4508" w:type="dxa"/>
          </w:tcPr>
          <w:p w14:paraId="157ECD93" w14:textId="191D3D56" w:rsidR="00BE5C1A" w:rsidRPr="00545B05" w:rsidRDefault="00B40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Reviewing </w:t>
            </w:r>
            <w:r w:rsidR="00C412A1" w:rsidRPr="00545B05">
              <w:rPr>
                <w:b/>
                <w:bCs/>
                <w:sz w:val="28"/>
                <w:szCs w:val="28"/>
              </w:rPr>
              <w:t>Environment/facilities</w:t>
            </w:r>
            <w:r w:rsidR="00545B05">
              <w:rPr>
                <w:b/>
                <w:bCs/>
                <w:sz w:val="28"/>
                <w:szCs w:val="28"/>
              </w:rPr>
              <w:t>/workflow</w:t>
            </w:r>
            <w:r w:rsidR="00C412A1" w:rsidRPr="00545B0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14:paraId="3CA14C4E" w14:textId="77777777" w:rsidR="00BE5C1A" w:rsidRDefault="00BE5C1A"/>
        </w:tc>
      </w:tr>
      <w:tr w:rsidR="00BE5C1A" w14:paraId="714172D4" w14:textId="77777777" w:rsidTr="00BE5C1A">
        <w:tc>
          <w:tcPr>
            <w:tcW w:w="4508" w:type="dxa"/>
          </w:tcPr>
          <w:p w14:paraId="7B3D3DE3" w14:textId="6D5B3271" w:rsidR="00BE5C1A" w:rsidRDefault="005910C3">
            <w:r>
              <w:t>Overall vaccination site is well ventilated</w:t>
            </w:r>
          </w:p>
        </w:tc>
        <w:tc>
          <w:tcPr>
            <w:tcW w:w="4508" w:type="dxa"/>
          </w:tcPr>
          <w:p w14:paraId="777C2918" w14:textId="77777777" w:rsidR="00BE5C1A" w:rsidRDefault="00BE5C1A"/>
        </w:tc>
      </w:tr>
      <w:tr w:rsidR="005910C3" w14:paraId="60934E07" w14:textId="77777777" w:rsidTr="00BE5C1A">
        <w:tc>
          <w:tcPr>
            <w:tcW w:w="4508" w:type="dxa"/>
          </w:tcPr>
          <w:p w14:paraId="53E70BEF" w14:textId="6A39A2DC" w:rsidR="005910C3" w:rsidRDefault="005910C3">
            <w:r>
              <w:t xml:space="preserve">Vaccinating site has reviewed processes and staffing numbers in anticipation of a rise in </w:t>
            </w:r>
            <w:r w:rsidR="002473B6">
              <w:t xml:space="preserve">COVID vaccination </w:t>
            </w:r>
            <w:r>
              <w:t xml:space="preserve">demand (winter preparedness) </w:t>
            </w:r>
          </w:p>
        </w:tc>
        <w:tc>
          <w:tcPr>
            <w:tcW w:w="4508" w:type="dxa"/>
          </w:tcPr>
          <w:p w14:paraId="61C1BD98" w14:textId="77777777" w:rsidR="005910C3" w:rsidRDefault="005910C3"/>
        </w:tc>
      </w:tr>
      <w:tr w:rsidR="00BE5C1A" w14:paraId="1683FD0A" w14:textId="77777777" w:rsidTr="00BE5C1A">
        <w:tc>
          <w:tcPr>
            <w:tcW w:w="4508" w:type="dxa"/>
          </w:tcPr>
          <w:p w14:paraId="76DF2B9E" w14:textId="77D76492" w:rsidR="00BE5C1A" w:rsidRDefault="005910C3">
            <w:r>
              <w:t xml:space="preserve">Dedicated </w:t>
            </w:r>
            <w:r w:rsidR="00AD7869">
              <w:t>v</w:t>
            </w:r>
            <w:r>
              <w:t>accine preparation area away from other vaccinations and distractions</w:t>
            </w:r>
          </w:p>
        </w:tc>
        <w:tc>
          <w:tcPr>
            <w:tcW w:w="4508" w:type="dxa"/>
          </w:tcPr>
          <w:p w14:paraId="6A994F4C" w14:textId="77777777" w:rsidR="00BE5C1A" w:rsidRDefault="00BE5C1A"/>
        </w:tc>
      </w:tr>
      <w:tr w:rsidR="00BE5C1A" w14:paraId="177867EA" w14:textId="77777777" w:rsidTr="00BE5C1A">
        <w:tc>
          <w:tcPr>
            <w:tcW w:w="4508" w:type="dxa"/>
          </w:tcPr>
          <w:p w14:paraId="608F27B9" w14:textId="253809BF" w:rsidR="00BE5C1A" w:rsidRPr="00487BFE" w:rsidRDefault="00487BFE" w:rsidP="00487BFE">
            <w:pPr>
              <w:rPr>
                <w:rFonts w:cstheme="minorHAnsi"/>
              </w:rPr>
            </w:pPr>
            <w:r w:rsidRPr="00487BFE">
              <w:rPr>
                <w:rFonts w:cstheme="minorHAnsi"/>
                <w:lang w:eastAsia="en-NZ"/>
              </w:rPr>
              <w:t>Vaccinating workforce are aware of the importance of accurately differentiating between the 30mcg Primary course (including 3</w:t>
            </w:r>
            <w:r w:rsidRPr="00487BFE">
              <w:rPr>
                <w:rFonts w:cstheme="minorHAnsi"/>
                <w:vertAlign w:val="superscript"/>
                <w:lang w:eastAsia="en-NZ"/>
              </w:rPr>
              <w:t>rd</w:t>
            </w:r>
            <w:r w:rsidRPr="00487BFE">
              <w:rPr>
                <w:rFonts w:cstheme="minorHAnsi"/>
                <w:lang w:eastAsia="en-NZ"/>
              </w:rPr>
              <w:t xml:space="preserve"> primary) and the 15mcg Original/15mcg Omicron BA.4/5 Booster course and have vaccine preparation and administration processes in place to mitigate clinical errors</w:t>
            </w:r>
          </w:p>
        </w:tc>
        <w:tc>
          <w:tcPr>
            <w:tcW w:w="4508" w:type="dxa"/>
          </w:tcPr>
          <w:p w14:paraId="6EF3BBCC" w14:textId="77777777" w:rsidR="00BE5C1A" w:rsidRDefault="00BE5C1A"/>
        </w:tc>
      </w:tr>
      <w:tr w:rsidR="00487BFE" w14:paraId="273D22CC" w14:textId="77777777" w:rsidTr="00BE5C1A">
        <w:tc>
          <w:tcPr>
            <w:tcW w:w="4508" w:type="dxa"/>
          </w:tcPr>
          <w:p w14:paraId="55E372F0" w14:textId="71DABBFA" w:rsidR="00487BFE" w:rsidRPr="00487BFE" w:rsidRDefault="00487BFE">
            <w:pPr>
              <w:rPr>
                <w:rFonts w:cstheme="minorHAnsi"/>
                <w:lang w:eastAsia="en-NZ"/>
              </w:rPr>
            </w:pPr>
            <w:r w:rsidRPr="00487BFE">
              <w:rPr>
                <w:rFonts w:cstheme="minorHAnsi"/>
                <w:lang w:eastAsia="en-NZ"/>
              </w:rPr>
              <w:t>Vaccinating workforce are aware of grey cap non-dilution instruction and where to find the vial expiry information</w:t>
            </w:r>
          </w:p>
        </w:tc>
        <w:tc>
          <w:tcPr>
            <w:tcW w:w="4508" w:type="dxa"/>
          </w:tcPr>
          <w:p w14:paraId="11BD539B" w14:textId="77777777" w:rsidR="00487BFE" w:rsidRDefault="00487BFE"/>
        </w:tc>
      </w:tr>
      <w:tr w:rsidR="00487BFE" w14:paraId="187CAE98" w14:textId="77777777" w:rsidTr="00BE5C1A">
        <w:tc>
          <w:tcPr>
            <w:tcW w:w="4508" w:type="dxa"/>
          </w:tcPr>
          <w:p w14:paraId="49054171" w14:textId="20736F2D" w:rsidR="00487BFE" w:rsidRDefault="00487BFE">
            <w:pPr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>
              <w:t>Current version of Comirnaty Expiry Poster is displayed on front of vaccine fridge</w:t>
            </w:r>
          </w:p>
        </w:tc>
        <w:tc>
          <w:tcPr>
            <w:tcW w:w="4508" w:type="dxa"/>
          </w:tcPr>
          <w:p w14:paraId="69AC77CC" w14:textId="77777777" w:rsidR="00487BFE" w:rsidRDefault="00487BFE"/>
        </w:tc>
      </w:tr>
      <w:tr w:rsidR="00100638" w14:paraId="66ADDAFF" w14:textId="77777777" w:rsidTr="00BE5C1A">
        <w:tc>
          <w:tcPr>
            <w:tcW w:w="4508" w:type="dxa"/>
          </w:tcPr>
          <w:p w14:paraId="4E8D4263" w14:textId="011E62E3" w:rsidR="00100638" w:rsidRDefault="00AD7869">
            <w:r>
              <w:t xml:space="preserve">Colour coded </w:t>
            </w:r>
            <w:r w:rsidR="00E7428B">
              <w:t xml:space="preserve">workflow </w:t>
            </w:r>
            <w:r>
              <w:t>processes are in place to differentiate Comirnaty 30 mcg = PURPLE</w:t>
            </w:r>
          </w:p>
          <w:p w14:paraId="236E3B53" w14:textId="2C007A42" w:rsidR="00AD7869" w:rsidRDefault="00AD7869">
            <w:r>
              <w:t xml:space="preserve">Comirnaty 15/15mcg = GREY </w:t>
            </w:r>
          </w:p>
        </w:tc>
        <w:tc>
          <w:tcPr>
            <w:tcW w:w="4508" w:type="dxa"/>
          </w:tcPr>
          <w:p w14:paraId="56E6934D" w14:textId="3ED3AADD" w:rsidR="00100638" w:rsidRDefault="00100638"/>
        </w:tc>
      </w:tr>
      <w:tr w:rsidR="00100638" w14:paraId="4CD9EB5C" w14:textId="77777777" w:rsidTr="00BE5C1A">
        <w:tc>
          <w:tcPr>
            <w:tcW w:w="4508" w:type="dxa"/>
          </w:tcPr>
          <w:p w14:paraId="4FD85D76" w14:textId="4829B6AA" w:rsidR="00100638" w:rsidRDefault="00E7428B">
            <w:r>
              <w:t>All drawn up vaccine syringes have colour coded syringe labels in place</w:t>
            </w:r>
          </w:p>
        </w:tc>
        <w:tc>
          <w:tcPr>
            <w:tcW w:w="4508" w:type="dxa"/>
          </w:tcPr>
          <w:p w14:paraId="3A864A37" w14:textId="594EB81A" w:rsidR="00100638" w:rsidRDefault="00100638"/>
        </w:tc>
      </w:tr>
      <w:tr w:rsidR="00100638" w14:paraId="2044E359" w14:textId="77777777" w:rsidTr="00BE5C1A">
        <w:tc>
          <w:tcPr>
            <w:tcW w:w="4508" w:type="dxa"/>
          </w:tcPr>
          <w:p w14:paraId="6528B591" w14:textId="522384F7" w:rsidR="00100638" w:rsidRDefault="00C073C0">
            <w:r>
              <w:t>Vaccinators always provide pre and post information advice- both verbal and in writing</w:t>
            </w:r>
          </w:p>
        </w:tc>
        <w:tc>
          <w:tcPr>
            <w:tcW w:w="4508" w:type="dxa"/>
          </w:tcPr>
          <w:p w14:paraId="65CA6300" w14:textId="77777777" w:rsidR="00100638" w:rsidRDefault="00100638"/>
        </w:tc>
      </w:tr>
      <w:tr w:rsidR="00545B05" w14:paraId="10543280" w14:textId="77777777" w:rsidTr="00BE5C1A">
        <w:tc>
          <w:tcPr>
            <w:tcW w:w="4508" w:type="dxa"/>
          </w:tcPr>
          <w:p w14:paraId="78548A10" w14:textId="392B5193" w:rsidR="00545B05" w:rsidRPr="00545B05" w:rsidRDefault="00545B05">
            <w:pPr>
              <w:rPr>
                <w:b/>
                <w:bCs/>
                <w:sz w:val="28"/>
                <w:szCs w:val="28"/>
              </w:rPr>
            </w:pPr>
            <w:r w:rsidRPr="00545B05">
              <w:rPr>
                <w:b/>
                <w:bCs/>
                <w:sz w:val="28"/>
                <w:szCs w:val="28"/>
              </w:rPr>
              <w:t xml:space="preserve">Workforce </w:t>
            </w:r>
            <w:r>
              <w:rPr>
                <w:b/>
                <w:bCs/>
                <w:sz w:val="28"/>
                <w:szCs w:val="28"/>
              </w:rPr>
              <w:t>Support:</w:t>
            </w:r>
          </w:p>
        </w:tc>
        <w:tc>
          <w:tcPr>
            <w:tcW w:w="4508" w:type="dxa"/>
          </w:tcPr>
          <w:p w14:paraId="5E4175E1" w14:textId="77777777" w:rsidR="00545B05" w:rsidRDefault="00545B05"/>
        </w:tc>
      </w:tr>
      <w:tr w:rsidR="005702ED" w14:paraId="320F6940" w14:textId="77777777" w:rsidTr="00BE5C1A">
        <w:tc>
          <w:tcPr>
            <w:tcW w:w="4508" w:type="dxa"/>
          </w:tcPr>
          <w:p w14:paraId="7574AC8C" w14:textId="1FF6B4E3" w:rsidR="005702ED" w:rsidRPr="005702ED" w:rsidRDefault="005702ED">
            <w:r w:rsidRPr="005702ED">
              <w:t xml:space="preserve">All vaccinators </w:t>
            </w:r>
            <w:r w:rsidR="00B727F7">
              <w:t xml:space="preserve">are aware of </w:t>
            </w:r>
            <w:r w:rsidR="00DC1A4A">
              <w:t xml:space="preserve">IMAC </w:t>
            </w:r>
            <w:r w:rsidR="00133EA6">
              <w:t xml:space="preserve">webinar scheduled for 27 February 2023 (and have </w:t>
            </w:r>
            <w:r w:rsidR="00B4092C">
              <w:t xml:space="preserve">allocated </w:t>
            </w:r>
            <w:r w:rsidR="00133EA6">
              <w:t xml:space="preserve">time to review this webinar information once available) </w:t>
            </w:r>
            <w:r w:rsidR="0094313D">
              <w:t xml:space="preserve"> </w:t>
            </w:r>
          </w:p>
        </w:tc>
        <w:tc>
          <w:tcPr>
            <w:tcW w:w="4508" w:type="dxa"/>
          </w:tcPr>
          <w:p w14:paraId="180C7C76" w14:textId="77777777" w:rsidR="005702ED" w:rsidRDefault="005702ED"/>
        </w:tc>
      </w:tr>
      <w:tr w:rsidR="00100638" w14:paraId="49593018" w14:textId="77777777" w:rsidTr="00BE5C1A">
        <w:tc>
          <w:tcPr>
            <w:tcW w:w="4508" w:type="dxa"/>
          </w:tcPr>
          <w:p w14:paraId="0F2DB670" w14:textId="56862E39" w:rsidR="00100638" w:rsidRDefault="00545B05">
            <w:r>
              <w:t xml:space="preserve">All vaccinating staff are familiar with and always </w:t>
            </w:r>
            <w:r w:rsidRPr="00A9212B">
              <w:rPr>
                <w:color w:val="000000" w:themeColor="text1"/>
              </w:rPr>
              <w:t>utilise</w:t>
            </w:r>
            <w:r w:rsidR="00172A8E" w:rsidRPr="00A9212B">
              <w:rPr>
                <w:color w:val="000000" w:themeColor="text1"/>
              </w:rPr>
              <w:t xml:space="preserve"> </w:t>
            </w:r>
            <w:r w:rsidR="00B727F7">
              <w:rPr>
                <w:color w:val="000000" w:themeColor="text1"/>
              </w:rPr>
              <w:t>the most up to date</w:t>
            </w:r>
            <w:r w:rsidR="0094313D" w:rsidRPr="00A9212B">
              <w:rPr>
                <w:color w:val="000000" w:themeColor="text1"/>
              </w:rPr>
              <w:t xml:space="preserve"> </w:t>
            </w:r>
            <w:r>
              <w:t>information resources pre and post vaccination</w:t>
            </w:r>
            <w:r w:rsidR="0094313D">
              <w:t xml:space="preserve"> </w:t>
            </w:r>
          </w:p>
        </w:tc>
        <w:tc>
          <w:tcPr>
            <w:tcW w:w="4508" w:type="dxa"/>
          </w:tcPr>
          <w:p w14:paraId="67BC997D" w14:textId="77777777" w:rsidR="00100638" w:rsidRDefault="00100638"/>
        </w:tc>
      </w:tr>
      <w:tr w:rsidR="00C073C0" w14:paraId="692E0AE5" w14:textId="77777777" w:rsidTr="00BE5C1A">
        <w:tc>
          <w:tcPr>
            <w:tcW w:w="4508" w:type="dxa"/>
          </w:tcPr>
          <w:p w14:paraId="083AA2F4" w14:textId="23DC94DA" w:rsidR="00C073C0" w:rsidRDefault="00C073C0">
            <w:r>
              <w:t xml:space="preserve">Processes </w:t>
            </w:r>
            <w:r w:rsidR="00487BFE">
              <w:t xml:space="preserve">are </w:t>
            </w:r>
            <w:r>
              <w:t>in place for the provider to manage own bookings in “Book My Vaccine”</w:t>
            </w:r>
          </w:p>
        </w:tc>
        <w:tc>
          <w:tcPr>
            <w:tcW w:w="4508" w:type="dxa"/>
          </w:tcPr>
          <w:p w14:paraId="4C8A1AAC" w14:textId="77777777" w:rsidR="00C073C0" w:rsidRDefault="00C073C0"/>
        </w:tc>
      </w:tr>
      <w:tr w:rsidR="00487BFE" w14:paraId="0DFA8BBE" w14:textId="77777777" w:rsidTr="00BE5C1A">
        <w:tc>
          <w:tcPr>
            <w:tcW w:w="4508" w:type="dxa"/>
          </w:tcPr>
          <w:p w14:paraId="7DEAF294" w14:textId="1EBEE332" w:rsidR="00487BFE" w:rsidRPr="00487BFE" w:rsidRDefault="00487BFE">
            <w:pPr>
              <w:rPr>
                <w:rFonts w:cstheme="minorHAnsi"/>
              </w:rPr>
            </w:pPr>
            <w:r w:rsidRPr="00487BFE">
              <w:rPr>
                <w:rFonts w:cstheme="minorHAnsi"/>
                <w:lang w:eastAsia="en-NZ"/>
              </w:rPr>
              <w:t xml:space="preserve">All clinic, transportation and admin staff have completed a Police check prior to working with </w:t>
            </w:r>
            <w:proofErr w:type="spellStart"/>
            <w:r w:rsidRPr="00487BFE">
              <w:rPr>
                <w:rFonts w:cstheme="minorHAnsi"/>
                <w:lang w:eastAsia="en-NZ"/>
              </w:rPr>
              <w:t>tamariki</w:t>
            </w:r>
            <w:proofErr w:type="spellEnd"/>
            <w:r w:rsidRPr="00487BFE">
              <w:rPr>
                <w:rFonts w:cstheme="minorHAnsi"/>
                <w:lang w:eastAsia="en-NZ"/>
              </w:rPr>
              <w:t>.   </w:t>
            </w:r>
          </w:p>
        </w:tc>
        <w:tc>
          <w:tcPr>
            <w:tcW w:w="4508" w:type="dxa"/>
          </w:tcPr>
          <w:p w14:paraId="39690BE8" w14:textId="77777777" w:rsidR="00487BFE" w:rsidRDefault="00487BFE"/>
        </w:tc>
      </w:tr>
      <w:tr w:rsidR="00E7428B" w14:paraId="51583D97" w14:textId="77777777" w:rsidTr="00BE5C1A">
        <w:tc>
          <w:tcPr>
            <w:tcW w:w="4508" w:type="dxa"/>
          </w:tcPr>
          <w:p w14:paraId="3ACAA9E4" w14:textId="67706E26" w:rsidR="00E7428B" w:rsidRDefault="00E7428B">
            <w:r>
              <w:t xml:space="preserve">Would you like any additional support from the southern COVID vaccination team/Immunisation Coordinators </w:t>
            </w:r>
            <w:proofErr w:type="gramStart"/>
            <w:r>
              <w:t>e.g.</w:t>
            </w:r>
            <w:proofErr w:type="gramEnd"/>
            <w:r>
              <w:t xml:space="preserve"> on-site education sessions? </w:t>
            </w:r>
            <w:r w:rsidR="00B4092C">
              <w:t>(</w:t>
            </w:r>
            <w:r>
              <w:t xml:space="preserve">Please </w:t>
            </w:r>
            <w:r w:rsidR="00B4092C">
              <w:t>specify)</w:t>
            </w:r>
            <w:r>
              <w:t xml:space="preserve"> </w:t>
            </w:r>
          </w:p>
        </w:tc>
        <w:tc>
          <w:tcPr>
            <w:tcW w:w="4508" w:type="dxa"/>
          </w:tcPr>
          <w:p w14:paraId="0BE45331" w14:textId="77777777" w:rsidR="00E7428B" w:rsidRDefault="00E7428B"/>
        </w:tc>
      </w:tr>
      <w:tr w:rsidR="00B4092C" w14:paraId="39406DBB" w14:textId="77777777" w:rsidTr="00BE5C1A">
        <w:tc>
          <w:tcPr>
            <w:tcW w:w="4508" w:type="dxa"/>
          </w:tcPr>
          <w:p w14:paraId="1E682944" w14:textId="77777777" w:rsidR="00B4092C" w:rsidRDefault="00B4092C"/>
        </w:tc>
        <w:tc>
          <w:tcPr>
            <w:tcW w:w="4508" w:type="dxa"/>
          </w:tcPr>
          <w:p w14:paraId="1D03E3A2" w14:textId="77777777" w:rsidR="00B4092C" w:rsidRDefault="00B4092C"/>
        </w:tc>
      </w:tr>
    </w:tbl>
    <w:p w14:paraId="01373794" w14:textId="77777777" w:rsidR="00BE5C1A" w:rsidRDefault="00BE5C1A"/>
    <w:sectPr w:rsidR="00BE5C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1403" w14:textId="77777777" w:rsidR="00375A89" w:rsidRDefault="00375A89" w:rsidP="00545B05">
      <w:pPr>
        <w:spacing w:after="0" w:line="240" w:lineRule="auto"/>
      </w:pPr>
      <w:r>
        <w:separator/>
      </w:r>
    </w:p>
  </w:endnote>
  <w:endnote w:type="continuationSeparator" w:id="0">
    <w:p w14:paraId="41DA83A7" w14:textId="77777777" w:rsidR="00375A89" w:rsidRDefault="00375A89" w:rsidP="0054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1E3" w14:textId="1F4606E9" w:rsidR="00545B05" w:rsidRDefault="0045275A">
    <w:pPr>
      <w:pStyle w:val="Footer"/>
    </w:pPr>
    <w:r>
      <w:t>COVID</w:t>
    </w:r>
    <w:r w:rsidR="00FD2025">
      <w:t xml:space="preserve"> Immunisation</w:t>
    </w:r>
    <w:r w:rsidR="006707CC">
      <w:t xml:space="preserve"> Site Preparedness Check list </w:t>
    </w:r>
    <w:r>
      <w:t>– Comirnaty vaccine changes purple cap to grey cap formulations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4E48" w14:textId="77777777" w:rsidR="00375A89" w:rsidRDefault="00375A89" w:rsidP="00545B05">
      <w:pPr>
        <w:spacing w:after="0" w:line="240" w:lineRule="auto"/>
      </w:pPr>
      <w:r>
        <w:separator/>
      </w:r>
    </w:p>
  </w:footnote>
  <w:footnote w:type="continuationSeparator" w:id="0">
    <w:p w14:paraId="1F09BFB2" w14:textId="77777777" w:rsidR="00375A89" w:rsidRDefault="00375A89" w:rsidP="0054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99ED" w14:textId="256F6094" w:rsidR="00B4092C" w:rsidRDefault="00B40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B89"/>
    <w:multiLevelType w:val="hybridMultilevel"/>
    <w:tmpl w:val="3CCA5F54"/>
    <w:lvl w:ilvl="0" w:tplc="831C2EE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271F"/>
    <w:multiLevelType w:val="hybridMultilevel"/>
    <w:tmpl w:val="8EB4F4A4"/>
    <w:lvl w:ilvl="0" w:tplc="BA1E9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40602">
    <w:abstractNumId w:val="1"/>
  </w:num>
  <w:num w:numId="2" w16cid:durableId="26053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1A"/>
    <w:rsid w:val="00015E1E"/>
    <w:rsid w:val="00053B80"/>
    <w:rsid w:val="0007530E"/>
    <w:rsid w:val="00091538"/>
    <w:rsid w:val="000C58CC"/>
    <w:rsid w:val="000D110B"/>
    <w:rsid w:val="000D324A"/>
    <w:rsid w:val="000D6CA6"/>
    <w:rsid w:val="000D77A7"/>
    <w:rsid w:val="000F00C3"/>
    <w:rsid w:val="00100638"/>
    <w:rsid w:val="001038D4"/>
    <w:rsid w:val="00133EA6"/>
    <w:rsid w:val="00172A8E"/>
    <w:rsid w:val="00181C8B"/>
    <w:rsid w:val="00183A7E"/>
    <w:rsid w:val="0019228B"/>
    <w:rsid w:val="001A1CDA"/>
    <w:rsid w:val="00210675"/>
    <w:rsid w:val="00215269"/>
    <w:rsid w:val="0022262B"/>
    <w:rsid w:val="002473B6"/>
    <w:rsid w:val="002513FB"/>
    <w:rsid w:val="002602A8"/>
    <w:rsid w:val="00266A2F"/>
    <w:rsid w:val="00267C1E"/>
    <w:rsid w:val="002747D6"/>
    <w:rsid w:val="002770D0"/>
    <w:rsid w:val="002821A2"/>
    <w:rsid w:val="002974CA"/>
    <w:rsid w:val="002A4F37"/>
    <w:rsid w:val="002D101C"/>
    <w:rsid w:val="002D3E55"/>
    <w:rsid w:val="002F3A52"/>
    <w:rsid w:val="00314951"/>
    <w:rsid w:val="00331D48"/>
    <w:rsid w:val="003473C9"/>
    <w:rsid w:val="00351293"/>
    <w:rsid w:val="00375A89"/>
    <w:rsid w:val="0037736F"/>
    <w:rsid w:val="00390247"/>
    <w:rsid w:val="003D108B"/>
    <w:rsid w:val="003F7399"/>
    <w:rsid w:val="00422775"/>
    <w:rsid w:val="004321D1"/>
    <w:rsid w:val="00433891"/>
    <w:rsid w:val="00434F90"/>
    <w:rsid w:val="00436C6D"/>
    <w:rsid w:val="00445B63"/>
    <w:rsid w:val="0045275A"/>
    <w:rsid w:val="004579C9"/>
    <w:rsid w:val="00487BFE"/>
    <w:rsid w:val="004A25E0"/>
    <w:rsid w:val="004B2A92"/>
    <w:rsid w:val="004B655C"/>
    <w:rsid w:val="004E46C6"/>
    <w:rsid w:val="004F29DD"/>
    <w:rsid w:val="004F364B"/>
    <w:rsid w:val="004F7347"/>
    <w:rsid w:val="004F795B"/>
    <w:rsid w:val="00505448"/>
    <w:rsid w:val="00530019"/>
    <w:rsid w:val="00545B05"/>
    <w:rsid w:val="00557CF1"/>
    <w:rsid w:val="005702ED"/>
    <w:rsid w:val="00571C86"/>
    <w:rsid w:val="005910C3"/>
    <w:rsid w:val="00594E1B"/>
    <w:rsid w:val="005B2178"/>
    <w:rsid w:val="005C6047"/>
    <w:rsid w:val="005D2AE1"/>
    <w:rsid w:val="0064226F"/>
    <w:rsid w:val="00647B86"/>
    <w:rsid w:val="00662F58"/>
    <w:rsid w:val="006707CC"/>
    <w:rsid w:val="00670CA9"/>
    <w:rsid w:val="006944AC"/>
    <w:rsid w:val="006A18FD"/>
    <w:rsid w:val="006D3D6E"/>
    <w:rsid w:val="006E468E"/>
    <w:rsid w:val="006E738D"/>
    <w:rsid w:val="006F2C8D"/>
    <w:rsid w:val="00710EFE"/>
    <w:rsid w:val="007135B5"/>
    <w:rsid w:val="007154D6"/>
    <w:rsid w:val="007171D2"/>
    <w:rsid w:val="0075141D"/>
    <w:rsid w:val="00751B1D"/>
    <w:rsid w:val="00754655"/>
    <w:rsid w:val="00765F22"/>
    <w:rsid w:val="00766849"/>
    <w:rsid w:val="00782C85"/>
    <w:rsid w:val="00783069"/>
    <w:rsid w:val="00784CEA"/>
    <w:rsid w:val="007A45B8"/>
    <w:rsid w:val="007B255E"/>
    <w:rsid w:val="007C045B"/>
    <w:rsid w:val="007D18A2"/>
    <w:rsid w:val="007F39EC"/>
    <w:rsid w:val="00801A06"/>
    <w:rsid w:val="00813E0E"/>
    <w:rsid w:val="008314EE"/>
    <w:rsid w:val="00833BBD"/>
    <w:rsid w:val="00864FD8"/>
    <w:rsid w:val="008A01B1"/>
    <w:rsid w:val="008B3CAF"/>
    <w:rsid w:val="008C7087"/>
    <w:rsid w:val="008E4C18"/>
    <w:rsid w:val="008F423E"/>
    <w:rsid w:val="008F5744"/>
    <w:rsid w:val="00904208"/>
    <w:rsid w:val="009271CF"/>
    <w:rsid w:val="00927E9B"/>
    <w:rsid w:val="00933F74"/>
    <w:rsid w:val="00934C3D"/>
    <w:rsid w:val="00942CE3"/>
    <w:rsid w:val="0094313D"/>
    <w:rsid w:val="0094488A"/>
    <w:rsid w:val="00952CAD"/>
    <w:rsid w:val="00961E85"/>
    <w:rsid w:val="0096686E"/>
    <w:rsid w:val="00991424"/>
    <w:rsid w:val="0099391F"/>
    <w:rsid w:val="00993A42"/>
    <w:rsid w:val="009D4C8E"/>
    <w:rsid w:val="009D554E"/>
    <w:rsid w:val="009E32AD"/>
    <w:rsid w:val="009E3353"/>
    <w:rsid w:val="009E7E53"/>
    <w:rsid w:val="009F36B9"/>
    <w:rsid w:val="00A406BE"/>
    <w:rsid w:val="00A529DE"/>
    <w:rsid w:val="00A67E18"/>
    <w:rsid w:val="00A86D00"/>
    <w:rsid w:val="00A9212B"/>
    <w:rsid w:val="00AA0745"/>
    <w:rsid w:val="00AA52D3"/>
    <w:rsid w:val="00AA5552"/>
    <w:rsid w:val="00AC0C7E"/>
    <w:rsid w:val="00AC1BCE"/>
    <w:rsid w:val="00AC1CEA"/>
    <w:rsid w:val="00AD66B9"/>
    <w:rsid w:val="00AD7869"/>
    <w:rsid w:val="00AE0DC2"/>
    <w:rsid w:val="00B206F9"/>
    <w:rsid w:val="00B221EB"/>
    <w:rsid w:val="00B24D34"/>
    <w:rsid w:val="00B327DB"/>
    <w:rsid w:val="00B370E8"/>
    <w:rsid w:val="00B4092C"/>
    <w:rsid w:val="00B452A3"/>
    <w:rsid w:val="00B6184E"/>
    <w:rsid w:val="00B65277"/>
    <w:rsid w:val="00B727F7"/>
    <w:rsid w:val="00B778B6"/>
    <w:rsid w:val="00B947E6"/>
    <w:rsid w:val="00BE5C1A"/>
    <w:rsid w:val="00C00FE0"/>
    <w:rsid w:val="00C073C0"/>
    <w:rsid w:val="00C07DBE"/>
    <w:rsid w:val="00C14B1E"/>
    <w:rsid w:val="00C20AE5"/>
    <w:rsid w:val="00C412A1"/>
    <w:rsid w:val="00C80C14"/>
    <w:rsid w:val="00C9415F"/>
    <w:rsid w:val="00CA35E5"/>
    <w:rsid w:val="00CA3B90"/>
    <w:rsid w:val="00CA6C4A"/>
    <w:rsid w:val="00CB5206"/>
    <w:rsid w:val="00CC4E8C"/>
    <w:rsid w:val="00CC5FE0"/>
    <w:rsid w:val="00CD39ED"/>
    <w:rsid w:val="00CD7FD1"/>
    <w:rsid w:val="00CF56DE"/>
    <w:rsid w:val="00D136B2"/>
    <w:rsid w:val="00D25E27"/>
    <w:rsid w:val="00D26B4F"/>
    <w:rsid w:val="00D4298D"/>
    <w:rsid w:val="00D577ED"/>
    <w:rsid w:val="00D65FAC"/>
    <w:rsid w:val="00D7228F"/>
    <w:rsid w:val="00DC1A4A"/>
    <w:rsid w:val="00DD3E64"/>
    <w:rsid w:val="00DD715B"/>
    <w:rsid w:val="00DE08A6"/>
    <w:rsid w:val="00E02772"/>
    <w:rsid w:val="00E07259"/>
    <w:rsid w:val="00E139FC"/>
    <w:rsid w:val="00E15AC4"/>
    <w:rsid w:val="00E27C62"/>
    <w:rsid w:val="00E31D37"/>
    <w:rsid w:val="00E36266"/>
    <w:rsid w:val="00E55426"/>
    <w:rsid w:val="00E72EC9"/>
    <w:rsid w:val="00E7428B"/>
    <w:rsid w:val="00E863F9"/>
    <w:rsid w:val="00E8701C"/>
    <w:rsid w:val="00E958C4"/>
    <w:rsid w:val="00EB1D6F"/>
    <w:rsid w:val="00EC03FE"/>
    <w:rsid w:val="00ED449B"/>
    <w:rsid w:val="00EE31C7"/>
    <w:rsid w:val="00EE4FDD"/>
    <w:rsid w:val="00F03A3C"/>
    <w:rsid w:val="00F47A18"/>
    <w:rsid w:val="00F52CBB"/>
    <w:rsid w:val="00F55B19"/>
    <w:rsid w:val="00F8718B"/>
    <w:rsid w:val="00F935FA"/>
    <w:rsid w:val="00FA4E93"/>
    <w:rsid w:val="00FC0CBA"/>
    <w:rsid w:val="00FC23A8"/>
    <w:rsid w:val="00FD2025"/>
    <w:rsid w:val="00FD2C73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00D6D"/>
  <w15:chartTrackingRefBased/>
  <w15:docId w15:val="{EA365235-504D-4235-8B96-4D6B9856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05"/>
  </w:style>
  <w:style w:type="paragraph" w:styleId="Footer">
    <w:name w:val="footer"/>
    <w:basedOn w:val="Normal"/>
    <w:link w:val="FooterChar"/>
    <w:uiPriority w:val="99"/>
    <w:unhideWhenUsed/>
    <w:rsid w:val="0054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05"/>
  </w:style>
  <w:style w:type="paragraph" w:styleId="ListParagraph">
    <w:name w:val="List Paragraph"/>
    <w:basedOn w:val="Normal"/>
    <w:uiPriority w:val="34"/>
    <w:qFormat/>
    <w:rsid w:val="006707CC"/>
    <w:pPr>
      <w:ind w:left="720"/>
      <w:contextualSpacing/>
    </w:pPr>
  </w:style>
  <w:style w:type="paragraph" w:styleId="Revision">
    <w:name w:val="Revision"/>
    <w:hidden/>
    <w:uiPriority w:val="99"/>
    <w:semiHidden/>
    <w:rsid w:val="00CB52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3A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dropbox.com%2Fsh%2Fvllk5cpjzfzt6yc%2FAACZU6otVLK_-JxhkB-3KRD8a%3Fdl%3D0&amp;data=05%7C01%7CJudy.Walker%40southerndhb.govt.nz%7Ccdb55b14b1c94488e9d708db147f2d91%7C45107a8c6d7c411e9a7f787684a303df%7C0%7C0%7C638126308675666044%7CUnknown%7CTWFpbGZsb3d8eyJWIjoiMC4wLjAwMDAiLCJQIjoiV2luMzIiLCJBTiI6Ik1haWwiLCJXVCI6Mn0%3D%7C3000%7C%7C%7C&amp;sdata=6Nn8gU65KQ7cUGvg7kxANc30Chg%2BxFRY50KDSnCBE%2F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FC47-7228-4008-A9E2-5F76B3D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DHB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Walker</dc:creator>
  <cp:keywords/>
  <dc:description/>
  <cp:lastModifiedBy>Leanne Brayshaw</cp:lastModifiedBy>
  <cp:revision>3</cp:revision>
  <dcterms:created xsi:type="dcterms:W3CDTF">2023-02-26T23:07:00Z</dcterms:created>
  <dcterms:modified xsi:type="dcterms:W3CDTF">2023-02-27T23:53:00Z</dcterms:modified>
</cp:coreProperties>
</file>