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8AB7" w14:textId="52A01820" w:rsidR="00B123CC" w:rsidRDefault="001310C6" w:rsidP="001D48F8">
      <w:pPr>
        <w:rPr>
          <w:rFonts w:eastAsia="Times New Roman" w:cs="Times New Roman"/>
          <w:b/>
          <w:bCs/>
          <w:color w:val="0A6AB4"/>
          <w:spacing w:val="-5"/>
          <w:sz w:val="48"/>
          <w:szCs w:val="44"/>
          <w:lang w:eastAsia="en-GB"/>
        </w:rPr>
      </w:pPr>
      <w:r>
        <w:rPr>
          <w:rFonts w:eastAsia="Times New Roman" w:cs="Times New Roman"/>
          <w:b/>
          <w:noProof/>
          <w:color w:val="002060"/>
          <w:spacing w:val="-5"/>
          <w:sz w:val="72"/>
          <w:szCs w:val="72"/>
        </w:rPr>
        <w:drawing>
          <wp:anchor distT="0" distB="0" distL="114300" distR="114300" simplePos="0" relativeHeight="251660289" behindDoc="0" locked="0" layoutInCell="1" allowOverlap="1" wp14:anchorId="2311BC84" wp14:editId="62B993CE">
            <wp:simplePos x="0" y="0"/>
            <wp:positionH relativeFrom="margin">
              <wp:posOffset>4619625</wp:posOffset>
            </wp:positionH>
            <wp:positionV relativeFrom="paragraph">
              <wp:posOffset>-514350</wp:posOffset>
            </wp:positionV>
            <wp:extent cx="1521460" cy="338887"/>
            <wp:effectExtent l="0" t="0" r="2540" b="444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1460" cy="338887"/>
                    </a:xfrm>
                    <a:prstGeom prst="rect">
                      <a:avLst/>
                    </a:prstGeom>
                  </pic:spPr>
                </pic:pic>
              </a:graphicData>
            </a:graphic>
            <wp14:sizeRelH relativeFrom="page">
              <wp14:pctWidth>0</wp14:pctWidth>
            </wp14:sizeRelH>
            <wp14:sizeRelV relativeFrom="page">
              <wp14:pctHeight>0</wp14:pctHeight>
            </wp14:sizeRelV>
          </wp:anchor>
        </w:drawing>
      </w:r>
      <w:r w:rsidR="001C6772" w:rsidRPr="00251239">
        <w:rPr>
          <w:noProof/>
          <w:shd w:val="clear" w:color="auto" w:fill="E6E6E6"/>
          <w:lang w:eastAsia="en-NZ"/>
        </w:rPr>
        <w:drawing>
          <wp:anchor distT="0" distB="0" distL="114300" distR="114300" simplePos="0" relativeHeight="251658240" behindDoc="0" locked="0" layoutInCell="1" allowOverlap="1" wp14:anchorId="5A009546" wp14:editId="34AA40F9">
            <wp:simplePos x="0" y="0"/>
            <wp:positionH relativeFrom="margin">
              <wp:posOffset>-371475</wp:posOffset>
            </wp:positionH>
            <wp:positionV relativeFrom="paragraph">
              <wp:posOffset>-513893</wp:posOffset>
            </wp:positionV>
            <wp:extent cx="1720215" cy="1765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12">
                      <a:extLst>
                        <a:ext uri="{28A0092B-C50C-407E-A947-70E740481C1C}">
                          <a14:useLocalDpi xmlns:a14="http://schemas.microsoft.com/office/drawing/2010/main" val="0"/>
                        </a:ext>
                      </a:extLst>
                    </a:blip>
                    <a:stretch>
                      <a:fillRect/>
                    </a:stretch>
                  </pic:blipFill>
                  <pic:spPr>
                    <a:xfrm>
                      <a:off x="0" y="0"/>
                      <a:ext cx="1720215" cy="176530"/>
                    </a:xfrm>
                    <a:prstGeom prst="rect">
                      <a:avLst/>
                    </a:prstGeom>
                  </pic:spPr>
                </pic:pic>
              </a:graphicData>
            </a:graphic>
          </wp:anchor>
        </w:drawing>
      </w:r>
    </w:p>
    <w:p w14:paraId="0E9CB0DC" w14:textId="46A8BE7A" w:rsidR="00160476" w:rsidRDefault="00803D97" w:rsidP="001D48F8">
      <w:pPr>
        <w:rPr>
          <w:rFonts w:eastAsia="Times New Roman" w:cs="Times New Roman"/>
          <w:b/>
          <w:bCs/>
          <w:color w:val="0A6AB4"/>
          <w:spacing w:val="-5"/>
          <w:sz w:val="48"/>
          <w:szCs w:val="44"/>
          <w:lang w:eastAsia="en-GB"/>
        </w:rPr>
      </w:pPr>
      <w:r>
        <w:rPr>
          <w:noProof/>
        </w:rPr>
        <mc:AlternateContent>
          <mc:Choice Requires="wps">
            <w:drawing>
              <wp:anchor distT="0" distB="0" distL="114300" distR="114300" simplePos="0" relativeHeight="251658241" behindDoc="0" locked="0" layoutInCell="1" allowOverlap="1" wp14:anchorId="3BA55AEB" wp14:editId="24289595">
                <wp:simplePos x="0" y="0"/>
                <wp:positionH relativeFrom="column">
                  <wp:posOffset>0</wp:posOffset>
                </wp:positionH>
                <wp:positionV relativeFrom="paragraph">
                  <wp:posOffset>4043045</wp:posOffset>
                </wp:positionV>
                <wp:extent cx="5731510" cy="3432222"/>
                <wp:effectExtent l="0" t="0" r="0" b="0"/>
                <wp:wrapNone/>
                <wp:docPr id="2080809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32222"/>
                        </a:xfrm>
                        <a:prstGeom prst="rect">
                          <a:avLst/>
                        </a:prstGeom>
                        <a:noFill/>
                        <a:ln w="9525">
                          <a:noFill/>
                          <a:miter lim="800000"/>
                          <a:headEnd/>
                          <a:tailEnd/>
                        </a:ln>
                      </wps:spPr>
                      <wps:txbx>
                        <w:txbxContent>
                          <w:p w14:paraId="3455F410" w14:textId="77777777" w:rsidR="001C6772" w:rsidRDefault="001C6772" w:rsidP="00160476">
                            <w:pPr>
                              <w:pStyle w:val="Covertitle"/>
                            </w:pPr>
                            <w:r>
                              <w:t xml:space="preserve">COVID-19 </w:t>
                            </w:r>
                          </w:p>
                          <w:p w14:paraId="48003D87" w14:textId="43232350" w:rsidR="00160476" w:rsidRPr="00934552" w:rsidRDefault="00B36A08" w:rsidP="00160476">
                            <w:pPr>
                              <w:pStyle w:val="Covertitle"/>
                            </w:pPr>
                            <w:r>
                              <w:t>Detecting</w:t>
                            </w:r>
                            <w:r w:rsidR="000A1BB1">
                              <w:t xml:space="preserve"> f</w:t>
                            </w:r>
                            <w:r w:rsidR="00160476">
                              <w:t>ailsafe reporting</w:t>
                            </w:r>
                            <w:r w:rsidR="00CB123F">
                              <w:t xml:space="preserve"> guidelines</w:t>
                            </w:r>
                          </w:p>
                          <w:p w14:paraId="4C45411A" w14:textId="77777777" w:rsidR="00160476" w:rsidRPr="008F226D" w:rsidRDefault="00160476" w:rsidP="001D48F8"/>
                          <w:p w14:paraId="17DF7337" w14:textId="71FB5760" w:rsidR="00160476" w:rsidRPr="00946138" w:rsidRDefault="00160476" w:rsidP="00160476">
                            <w:pPr>
                              <w:pStyle w:val="Coversubtitle"/>
                            </w:pPr>
                            <w:r>
                              <w:t>National</w:t>
                            </w:r>
                            <w:r w:rsidRPr="00946138">
                              <w:t xml:space="preserve"> Immunisation Programme</w:t>
                            </w:r>
                          </w:p>
                          <w:p w14:paraId="7253C69D" w14:textId="77777777" w:rsidR="00160476" w:rsidRDefault="00160476" w:rsidP="001D48F8"/>
                          <w:p w14:paraId="12F779BC" w14:textId="77777777" w:rsidR="00160476" w:rsidRDefault="00160476" w:rsidP="001D48F8"/>
                          <w:p w14:paraId="3B05EF26" w14:textId="17A6AB74" w:rsidR="00160476" w:rsidRPr="005B75CA" w:rsidRDefault="00160476" w:rsidP="001D48F8">
                            <w:r w:rsidRPr="005B75CA">
                              <w:t xml:space="preserve">Version </w:t>
                            </w:r>
                            <w:r w:rsidR="0005703D">
                              <w:t>2</w:t>
                            </w:r>
                            <w:r w:rsidR="0070228F">
                              <w:t>.0</w:t>
                            </w:r>
                          </w:p>
                          <w:p w14:paraId="6DB45414" w14:textId="02AB3504" w:rsidR="00160476" w:rsidRPr="00B634DA" w:rsidRDefault="00160476" w:rsidP="001D48F8">
                            <w:pPr>
                              <w:rPr>
                                <w:sz w:val="16"/>
                                <w:szCs w:val="18"/>
                              </w:rPr>
                            </w:pPr>
                            <w:r w:rsidRPr="005B75CA">
                              <w:t xml:space="preserve">Last Updated </w:t>
                            </w:r>
                            <w:r w:rsidRPr="00A15482">
                              <w:rPr>
                                <w:highlight w:val="yellow"/>
                              </w:rPr>
                              <w:t>xx</w:t>
                            </w:r>
                            <w:r>
                              <w:t xml:space="preserve"> </w:t>
                            </w:r>
                            <w:r w:rsidR="007C2220">
                              <w:t>April 2022</w:t>
                            </w:r>
                          </w:p>
                        </w:txbxContent>
                      </wps:txbx>
                      <wps:bodyPr rot="0" vert="horz" wrap="square" lIns="91440" tIns="45720" rIns="91440" bIns="45720" anchor="b" anchorCtr="0">
                        <a:noAutofit/>
                      </wps:bodyPr>
                    </wps:wsp>
                  </a:graphicData>
                </a:graphic>
              </wp:anchor>
            </w:drawing>
          </mc:Choice>
          <mc:Fallback>
            <w:pict>
              <v:shapetype w14:anchorId="3BA55AEB" id="_x0000_t202" coordsize="21600,21600" o:spt="202" path="m,l,21600r21600,l21600,xe">
                <v:stroke joinstyle="miter"/>
                <v:path gradientshapeok="t" o:connecttype="rect"/>
              </v:shapetype>
              <v:shape id="Text Box 2" o:spid="_x0000_s1026" type="#_x0000_t202" style="position:absolute;margin-left:0;margin-top:318.35pt;width:451.3pt;height:270.2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" filled="f" stroked="f">
                <v:textbox>
                  <w:txbxContent>
                    <w:p w14:paraId="3455F410" w14:textId="77777777" w:rsidR="001C6772" w:rsidRDefault="001C6772" w:rsidP="00160476">
                      <w:pPr>
                        <w:pStyle w:val="Covertitle"/>
                      </w:pPr>
                      <w:r>
                        <w:t xml:space="preserve">COVID-19 </w:t>
                      </w:r>
                    </w:p>
                    <w:p w14:paraId="48003D87" w14:textId="43232350" w:rsidR="00160476" w:rsidRPr="00934552" w:rsidRDefault="00B36A08" w:rsidP="00160476">
                      <w:pPr>
                        <w:pStyle w:val="Covertitle"/>
                      </w:pPr>
                      <w:r>
                        <w:t>Detecting</w:t>
                      </w:r>
                      <w:r w:rsidR="000A1BB1">
                        <w:t xml:space="preserve"> f</w:t>
                      </w:r>
                      <w:r w:rsidR="00160476">
                        <w:t>ailsafe reporting</w:t>
                      </w:r>
                      <w:r w:rsidR="00CB123F">
                        <w:t xml:space="preserve"> guidelines</w:t>
                      </w:r>
                    </w:p>
                    <w:p w14:paraId="4C45411A" w14:textId="77777777" w:rsidR="00160476" w:rsidRPr="008F226D" w:rsidRDefault="00160476" w:rsidP="001D48F8"/>
                    <w:p w14:paraId="17DF7337" w14:textId="71FB5760" w:rsidR="00160476" w:rsidRPr="00946138" w:rsidRDefault="00160476" w:rsidP="00160476">
                      <w:pPr>
                        <w:pStyle w:val="Coversubtitle"/>
                      </w:pPr>
                      <w:r>
                        <w:t>National</w:t>
                      </w:r>
                      <w:r w:rsidRPr="00946138">
                        <w:t xml:space="preserve"> Immunisation Programme</w:t>
                      </w:r>
                    </w:p>
                    <w:p w14:paraId="7253C69D" w14:textId="77777777" w:rsidR="00160476" w:rsidRDefault="00160476" w:rsidP="001D48F8"/>
                    <w:p w14:paraId="12F779BC" w14:textId="77777777" w:rsidR="00160476" w:rsidRDefault="00160476" w:rsidP="001D48F8"/>
                    <w:p w14:paraId="3B05EF26" w14:textId="17A6AB74" w:rsidR="00160476" w:rsidRPr="005B75CA" w:rsidRDefault="00160476" w:rsidP="001D48F8">
                      <w:r w:rsidRPr="005B75CA">
                        <w:t xml:space="preserve">Version </w:t>
                      </w:r>
                      <w:r w:rsidR="0005703D">
                        <w:t>2</w:t>
                      </w:r>
                      <w:r w:rsidR="0070228F">
                        <w:t>.0</w:t>
                      </w:r>
                    </w:p>
                    <w:p w14:paraId="6DB45414" w14:textId="02AB3504" w:rsidR="00160476" w:rsidRPr="00B634DA" w:rsidRDefault="00160476" w:rsidP="001D48F8">
                      <w:pPr>
                        <w:rPr>
                          <w:sz w:val="16"/>
                          <w:szCs w:val="18"/>
                        </w:rPr>
                      </w:pPr>
                      <w:r w:rsidRPr="005B75CA">
                        <w:t xml:space="preserve">Last Updated </w:t>
                      </w:r>
                      <w:r w:rsidRPr="00A15482">
                        <w:rPr>
                          <w:highlight w:val="yellow"/>
                        </w:rPr>
                        <w:t>xx</w:t>
                      </w:r>
                      <w:r>
                        <w:t xml:space="preserve"> </w:t>
                      </w:r>
                      <w:r w:rsidR="007C2220">
                        <w:t>April 2022</w:t>
                      </w:r>
                    </w:p>
                  </w:txbxContent>
                </v:textbox>
              </v:shape>
            </w:pict>
          </mc:Fallback>
        </mc:AlternateContent>
      </w:r>
      <w:r w:rsidR="00160476">
        <w:br w:type="page"/>
      </w:r>
    </w:p>
    <w:p w14:paraId="06BB97ED" w14:textId="4D078A5E" w:rsidR="008A5810" w:rsidRPr="000D6594" w:rsidRDefault="008A5810" w:rsidP="008A5810">
      <w:pPr>
        <w:pStyle w:val="Heading1"/>
      </w:pPr>
      <w:bookmarkStart w:id="0" w:name="_Toc109820259"/>
      <w:bookmarkStart w:id="1" w:name="_Toc110249523"/>
      <w:r w:rsidRPr="000D6594">
        <w:lastRenderedPageBreak/>
        <w:t>Document Version Control</w:t>
      </w:r>
      <w:bookmarkEnd w:id="0"/>
      <w:bookmarkEnd w:id="1"/>
    </w:p>
    <w:p w14:paraId="65C016B1" w14:textId="77777777" w:rsidR="008A5810" w:rsidRDefault="008A5810" w:rsidP="008A5810">
      <w:pPr>
        <w:pStyle w:val="Heading3"/>
      </w:pPr>
      <w:r>
        <w:t>Revision history</w:t>
      </w:r>
    </w:p>
    <w:tbl>
      <w:tblPr>
        <w:tblW w:w="5000" w:type="pct"/>
        <w:tblCellMar>
          <w:left w:w="57" w:type="dxa"/>
          <w:right w:w="57" w:type="dxa"/>
        </w:tblCellMar>
        <w:tblLook w:val="04A0" w:firstRow="1" w:lastRow="0" w:firstColumn="1" w:lastColumn="0" w:noHBand="0" w:noVBand="1"/>
      </w:tblPr>
      <w:tblGrid>
        <w:gridCol w:w="1002"/>
        <w:gridCol w:w="1534"/>
        <w:gridCol w:w="6490"/>
      </w:tblGrid>
      <w:tr w:rsidR="008A5810" w:rsidRPr="00C82BD6" w14:paraId="4A0AE314" w14:textId="77777777" w:rsidTr="00763DAF">
        <w:trPr>
          <w:cantSplit/>
        </w:trPr>
        <w:tc>
          <w:tcPr>
            <w:tcW w:w="555" w:type="pct"/>
            <w:tcBorders>
              <w:top w:val="nil"/>
              <w:left w:val="nil"/>
              <w:bottom w:val="nil"/>
              <w:right w:val="nil"/>
            </w:tcBorders>
            <w:shd w:val="clear" w:color="auto" w:fill="D9D9D9" w:themeFill="background1" w:themeFillShade="D9"/>
          </w:tcPr>
          <w:p w14:paraId="15337BF7" w14:textId="77777777" w:rsidR="008A5810" w:rsidRPr="00C82BD6" w:rsidRDefault="008A5810" w:rsidP="00763DAF">
            <w:pPr>
              <w:pStyle w:val="TableText"/>
            </w:pPr>
            <w:r w:rsidRPr="00C82BD6">
              <w:t>Version</w:t>
            </w:r>
          </w:p>
        </w:tc>
        <w:tc>
          <w:tcPr>
            <w:tcW w:w="850" w:type="pct"/>
            <w:tcBorders>
              <w:top w:val="nil"/>
              <w:left w:val="nil"/>
              <w:bottom w:val="nil"/>
              <w:right w:val="nil"/>
            </w:tcBorders>
            <w:shd w:val="clear" w:color="auto" w:fill="D9D9D9" w:themeFill="background1" w:themeFillShade="D9"/>
          </w:tcPr>
          <w:p w14:paraId="73276947" w14:textId="77777777" w:rsidR="008A5810" w:rsidRPr="00C82BD6" w:rsidRDefault="008A5810" w:rsidP="00763DAF">
            <w:pPr>
              <w:pStyle w:val="TableText"/>
            </w:pPr>
            <w:r w:rsidRPr="00C82BD6">
              <w:t>Date</w:t>
            </w:r>
          </w:p>
        </w:tc>
        <w:tc>
          <w:tcPr>
            <w:tcW w:w="3595" w:type="pct"/>
            <w:tcBorders>
              <w:top w:val="nil"/>
              <w:left w:val="nil"/>
              <w:bottom w:val="nil"/>
              <w:right w:val="nil"/>
            </w:tcBorders>
            <w:shd w:val="clear" w:color="auto" w:fill="D9D9D9" w:themeFill="background1" w:themeFillShade="D9"/>
          </w:tcPr>
          <w:p w14:paraId="49FEABA0" w14:textId="247C1B51" w:rsidR="008A5810" w:rsidRPr="00C82BD6" w:rsidRDefault="008A5810" w:rsidP="00763DAF">
            <w:pPr>
              <w:pStyle w:val="TableText"/>
            </w:pPr>
            <w:r w:rsidRPr="00A65C45">
              <w:t>Section/Appendix</w:t>
            </w:r>
          </w:p>
        </w:tc>
      </w:tr>
      <w:tr w:rsidR="008A5810" w14:paraId="0033B121" w14:textId="77777777" w:rsidTr="00763DAF">
        <w:trPr>
          <w:cantSplit/>
        </w:trPr>
        <w:tc>
          <w:tcPr>
            <w:tcW w:w="555" w:type="pct"/>
            <w:tcBorders>
              <w:top w:val="nil"/>
              <w:left w:val="nil"/>
              <w:bottom w:val="single" w:sz="4" w:space="0" w:color="A6A6A6" w:themeColor="background1" w:themeShade="A6"/>
              <w:right w:val="nil"/>
            </w:tcBorders>
          </w:tcPr>
          <w:p w14:paraId="1EB65AD2" w14:textId="6815966F" w:rsidR="008A5810" w:rsidRDefault="008A5810" w:rsidP="00763DAF">
            <w:pPr>
              <w:pStyle w:val="TableText"/>
            </w:pPr>
            <w:r>
              <w:t>V1.0</w:t>
            </w:r>
          </w:p>
        </w:tc>
        <w:tc>
          <w:tcPr>
            <w:tcW w:w="850" w:type="pct"/>
            <w:tcBorders>
              <w:top w:val="nil"/>
              <w:left w:val="nil"/>
              <w:bottom w:val="single" w:sz="4" w:space="0" w:color="A6A6A6" w:themeColor="background1" w:themeShade="A6"/>
              <w:right w:val="nil"/>
            </w:tcBorders>
          </w:tcPr>
          <w:p w14:paraId="54C6FAFC" w14:textId="63461200" w:rsidR="008A5810" w:rsidRDefault="009233CF" w:rsidP="00763DAF">
            <w:pPr>
              <w:pStyle w:val="TableText"/>
            </w:pPr>
            <w:r>
              <w:t>23 May</w:t>
            </w:r>
            <w:r w:rsidR="00D87AFB">
              <w:t xml:space="preserve"> 2022</w:t>
            </w:r>
          </w:p>
        </w:tc>
        <w:tc>
          <w:tcPr>
            <w:tcW w:w="3595" w:type="pct"/>
            <w:tcBorders>
              <w:top w:val="nil"/>
              <w:left w:val="nil"/>
              <w:bottom w:val="single" w:sz="4" w:space="0" w:color="A6A6A6" w:themeColor="background1" w:themeShade="A6"/>
              <w:right w:val="nil"/>
            </w:tcBorders>
          </w:tcPr>
          <w:p w14:paraId="7097876F" w14:textId="40B3BAA8" w:rsidR="008A5810" w:rsidRDefault="00D87AFB" w:rsidP="00763DAF">
            <w:pPr>
              <w:pStyle w:val="TableText"/>
            </w:pPr>
            <w:r>
              <w:t>First version published and shared</w:t>
            </w:r>
          </w:p>
        </w:tc>
      </w:tr>
      <w:tr w:rsidR="008A5810" w14:paraId="7552E412" w14:textId="77777777" w:rsidTr="00763DAF">
        <w:trPr>
          <w:cantSplit/>
        </w:trPr>
        <w:tc>
          <w:tcPr>
            <w:tcW w:w="555" w:type="pct"/>
            <w:tcBorders>
              <w:top w:val="single" w:sz="4" w:space="0" w:color="A6A6A6" w:themeColor="background1" w:themeShade="A6"/>
              <w:left w:val="nil"/>
              <w:bottom w:val="single" w:sz="4" w:space="0" w:color="A6A6A6" w:themeColor="background1" w:themeShade="A6"/>
              <w:right w:val="nil"/>
            </w:tcBorders>
          </w:tcPr>
          <w:p w14:paraId="5A1EDF95" w14:textId="694AAAEE" w:rsidR="008A5810" w:rsidRDefault="00E45059" w:rsidP="00763DAF">
            <w:pPr>
              <w:pStyle w:val="TableText"/>
            </w:pPr>
            <w:r>
              <w:t>V2.0</w:t>
            </w:r>
          </w:p>
        </w:tc>
        <w:tc>
          <w:tcPr>
            <w:tcW w:w="850" w:type="pct"/>
            <w:tcBorders>
              <w:top w:val="single" w:sz="4" w:space="0" w:color="A6A6A6" w:themeColor="background1" w:themeShade="A6"/>
              <w:left w:val="nil"/>
              <w:bottom w:val="single" w:sz="4" w:space="0" w:color="A6A6A6" w:themeColor="background1" w:themeShade="A6"/>
              <w:right w:val="nil"/>
            </w:tcBorders>
          </w:tcPr>
          <w:p w14:paraId="6D74317E" w14:textId="59AE94F6" w:rsidR="008A5810" w:rsidRDefault="00D87AFB" w:rsidP="00763DAF">
            <w:pPr>
              <w:pStyle w:val="TableText"/>
            </w:pPr>
            <w:r>
              <w:t>01 August 2022</w:t>
            </w:r>
          </w:p>
        </w:tc>
        <w:tc>
          <w:tcPr>
            <w:tcW w:w="3595" w:type="pct"/>
            <w:tcBorders>
              <w:top w:val="single" w:sz="4" w:space="0" w:color="A6A6A6" w:themeColor="background1" w:themeShade="A6"/>
              <w:left w:val="nil"/>
              <w:bottom w:val="single" w:sz="4" w:space="0" w:color="A6A6A6" w:themeColor="background1" w:themeShade="A6"/>
              <w:right w:val="nil"/>
            </w:tcBorders>
          </w:tcPr>
          <w:p w14:paraId="569865EA" w14:textId="2FD03D31" w:rsidR="000C3C19" w:rsidRDefault="000C3C19" w:rsidP="006F558F">
            <w:pPr>
              <w:pStyle w:val="TableText"/>
              <w:numPr>
                <w:ilvl w:val="0"/>
                <w:numId w:val="32"/>
              </w:numPr>
              <w:ind w:left="382" w:hanging="283"/>
            </w:pPr>
            <w:r>
              <w:t>Content table added</w:t>
            </w:r>
          </w:p>
          <w:p w14:paraId="370CA2C5" w14:textId="32AA9EBC" w:rsidR="008A5810" w:rsidRDefault="00D87AFB" w:rsidP="006F558F">
            <w:pPr>
              <w:pStyle w:val="TableText"/>
              <w:numPr>
                <w:ilvl w:val="0"/>
                <w:numId w:val="32"/>
              </w:numPr>
              <w:ind w:left="382" w:hanging="283"/>
            </w:pPr>
            <w:r>
              <w:t xml:space="preserve">Updated </w:t>
            </w:r>
            <w:r w:rsidR="00C468E4">
              <w:t xml:space="preserve">branding and language moving into Te </w:t>
            </w:r>
            <w:proofErr w:type="spellStart"/>
            <w:r w:rsidR="00C468E4">
              <w:t>Whatu</w:t>
            </w:r>
            <w:proofErr w:type="spellEnd"/>
            <w:r w:rsidR="00C468E4">
              <w:t xml:space="preserve"> Ora – Health New Zealand</w:t>
            </w:r>
          </w:p>
          <w:p w14:paraId="2264BF61" w14:textId="15924D59" w:rsidR="006F558F" w:rsidRDefault="006F558F" w:rsidP="006F558F">
            <w:pPr>
              <w:pStyle w:val="TableText"/>
              <w:numPr>
                <w:ilvl w:val="0"/>
                <w:numId w:val="32"/>
              </w:numPr>
              <w:ind w:left="382" w:hanging="283"/>
            </w:pPr>
            <w:r>
              <w:t>Added clarity on the number of days between doses for the detecting failsafe settings (for the Master spreadsheet not the data quality spreadsheet). This will be applied from 1 August 2022.</w:t>
            </w:r>
          </w:p>
          <w:p w14:paraId="1D9B9940" w14:textId="2854650D" w:rsidR="00C468E4" w:rsidRDefault="006F558F" w:rsidP="006F558F">
            <w:pPr>
              <w:pStyle w:val="TableText"/>
              <w:numPr>
                <w:ilvl w:val="0"/>
                <w:numId w:val="32"/>
              </w:numPr>
              <w:ind w:left="382" w:hanging="283"/>
            </w:pPr>
            <w:r>
              <w:t xml:space="preserve">New update for the data quality failsafe: </w:t>
            </w:r>
            <w:r w:rsidRPr="006F558F">
              <w:rPr>
                <w:lang w:val="en-GB"/>
              </w:rPr>
              <w:t xml:space="preserve">From 1 July 2022 onwards, </w:t>
            </w:r>
            <w:r w:rsidR="008C0755">
              <w:rPr>
                <w:lang w:val="en-GB"/>
              </w:rPr>
              <w:t>CIR</w:t>
            </w:r>
            <w:r w:rsidRPr="006F558F">
              <w:rPr>
                <w:lang w:val="en-GB"/>
              </w:rPr>
              <w:t xml:space="preserve"> helpdesk will update invalid batch number and boosters recorded as an additional dose on behalf of the locality where the required change meets the existing business rules.</w:t>
            </w:r>
          </w:p>
        </w:tc>
      </w:tr>
    </w:tbl>
    <w:p w14:paraId="17AA0A94" w14:textId="08F8D4C7" w:rsidR="00091CA2" w:rsidRDefault="00091CA2">
      <w:pPr>
        <w:spacing w:before="0" w:after="160" w:line="2" w:lineRule="auto"/>
        <w:rPr>
          <w:rFonts w:eastAsia="Times New Roman" w:cs="Times New Roman"/>
          <w:b/>
          <w:color w:val="002060"/>
          <w:spacing w:val="-5"/>
          <w:sz w:val="72"/>
          <w:szCs w:val="72"/>
          <w:lang w:eastAsia="en-GB"/>
        </w:rPr>
      </w:pPr>
    </w:p>
    <w:p w14:paraId="59CE9F34" w14:textId="77777777" w:rsidR="000713CA" w:rsidRDefault="000713CA">
      <w:pPr>
        <w:spacing w:before="0" w:after="160" w:line="2" w:lineRule="auto"/>
      </w:pPr>
      <w:r>
        <w:br w:type="page"/>
      </w:r>
    </w:p>
    <w:sdt>
      <w:sdtPr>
        <w:id w:val="997083143"/>
        <w:docPartObj>
          <w:docPartGallery w:val="Table of Contents"/>
          <w:docPartUnique/>
        </w:docPartObj>
      </w:sdtPr>
      <w:sdtEndPr>
        <w:rPr>
          <w:rFonts w:ascii="Segoe UI" w:eastAsiaTheme="minorHAnsi" w:hAnsi="Segoe UI" w:cs="Segoe UI"/>
          <w:b/>
          <w:bCs/>
          <w:noProof/>
          <w:color w:val="auto"/>
          <w:sz w:val="20"/>
          <w:szCs w:val="20"/>
          <w:lang w:val="en-GB"/>
        </w:rPr>
      </w:sdtEndPr>
      <w:sdtContent>
        <w:p w14:paraId="585DD0A0" w14:textId="6B93BC9B" w:rsidR="000713CA" w:rsidRDefault="000713CA">
          <w:pPr>
            <w:pStyle w:val="TOCHeading"/>
          </w:pPr>
          <w:r>
            <w:t>Contents</w:t>
          </w:r>
        </w:p>
        <w:p w14:paraId="7010EDE6" w14:textId="1A8017A6" w:rsidR="00F3364E" w:rsidRDefault="00F3364E">
          <w:pPr>
            <w:pStyle w:val="TOC1"/>
            <w:tabs>
              <w:tab w:val="right" w:leader="dot" w:pos="9016"/>
            </w:tabs>
            <w:rPr>
              <w:rFonts w:asciiTheme="minorHAnsi" w:eastAsiaTheme="minorEastAsia" w:hAnsiTheme="minorHAnsi" w:cstheme="minorBidi"/>
              <w:noProof/>
              <w:sz w:val="22"/>
              <w:szCs w:val="22"/>
              <w:lang w:val="en-NZ" w:eastAsia="en-NZ"/>
            </w:rPr>
          </w:pPr>
          <w:r>
            <w:fldChar w:fldCharType="begin"/>
          </w:r>
          <w:r>
            <w:instrText xml:space="preserve"> TOC \o "1-2" \h \z \u </w:instrText>
          </w:r>
          <w:r>
            <w:fldChar w:fldCharType="separate"/>
          </w:r>
          <w:hyperlink w:anchor="_Toc110249523" w:history="1">
            <w:r w:rsidRPr="00F70B76">
              <w:rPr>
                <w:rStyle w:val="Hyperlink"/>
                <w:noProof/>
              </w:rPr>
              <w:t>Document Version Control</w:t>
            </w:r>
            <w:r>
              <w:rPr>
                <w:noProof/>
                <w:webHidden/>
              </w:rPr>
              <w:tab/>
            </w:r>
            <w:r>
              <w:rPr>
                <w:noProof/>
                <w:webHidden/>
              </w:rPr>
              <w:fldChar w:fldCharType="begin"/>
            </w:r>
            <w:r>
              <w:rPr>
                <w:noProof/>
                <w:webHidden/>
              </w:rPr>
              <w:instrText xml:space="preserve"> PAGEREF _Toc110249523 \h </w:instrText>
            </w:r>
            <w:r>
              <w:rPr>
                <w:noProof/>
                <w:webHidden/>
              </w:rPr>
            </w:r>
            <w:r>
              <w:rPr>
                <w:noProof/>
                <w:webHidden/>
              </w:rPr>
              <w:fldChar w:fldCharType="separate"/>
            </w:r>
            <w:r>
              <w:rPr>
                <w:noProof/>
                <w:webHidden/>
              </w:rPr>
              <w:t>2</w:t>
            </w:r>
            <w:r>
              <w:rPr>
                <w:noProof/>
                <w:webHidden/>
              </w:rPr>
              <w:fldChar w:fldCharType="end"/>
            </w:r>
          </w:hyperlink>
        </w:p>
        <w:p w14:paraId="54838837" w14:textId="6E282E60" w:rsidR="00F3364E" w:rsidRDefault="00F3364E">
          <w:pPr>
            <w:pStyle w:val="TOC1"/>
            <w:tabs>
              <w:tab w:val="right" w:leader="dot" w:pos="9016"/>
            </w:tabs>
            <w:rPr>
              <w:rFonts w:asciiTheme="minorHAnsi" w:eastAsiaTheme="minorEastAsia" w:hAnsiTheme="minorHAnsi" w:cstheme="minorBidi"/>
              <w:noProof/>
              <w:sz w:val="22"/>
              <w:szCs w:val="22"/>
              <w:lang w:val="en-NZ" w:eastAsia="en-NZ"/>
            </w:rPr>
          </w:pPr>
          <w:hyperlink w:anchor="_Toc110249524" w:history="1">
            <w:r w:rsidRPr="00F70B76">
              <w:rPr>
                <w:rStyle w:val="Hyperlink"/>
                <w:noProof/>
              </w:rPr>
              <w:t>Definitions</w:t>
            </w:r>
            <w:r>
              <w:rPr>
                <w:noProof/>
                <w:webHidden/>
              </w:rPr>
              <w:tab/>
            </w:r>
            <w:r>
              <w:rPr>
                <w:noProof/>
                <w:webHidden/>
              </w:rPr>
              <w:fldChar w:fldCharType="begin"/>
            </w:r>
            <w:r>
              <w:rPr>
                <w:noProof/>
                <w:webHidden/>
              </w:rPr>
              <w:instrText xml:space="preserve"> PAGEREF _Toc110249524 \h </w:instrText>
            </w:r>
            <w:r>
              <w:rPr>
                <w:noProof/>
                <w:webHidden/>
              </w:rPr>
            </w:r>
            <w:r>
              <w:rPr>
                <w:noProof/>
                <w:webHidden/>
              </w:rPr>
              <w:fldChar w:fldCharType="separate"/>
            </w:r>
            <w:r>
              <w:rPr>
                <w:noProof/>
                <w:webHidden/>
              </w:rPr>
              <w:t>4</w:t>
            </w:r>
            <w:r>
              <w:rPr>
                <w:noProof/>
                <w:webHidden/>
              </w:rPr>
              <w:fldChar w:fldCharType="end"/>
            </w:r>
          </w:hyperlink>
        </w:p>
        <w:p w14:paraId="550D82F7" w14:textId="771DD7A7" w:rsidR="00F3364E" w:rsidRDefault="00F3364E">
          <w:pPr>
            <w:pStyle w:val="TOC1"/>
            <w:tabs>
              <w:tab w:val="right" w:leader="dot" w:pos="9016"/>
            </w:tabs>
            <w:rPr>
              <w:rFonts w:asciiTheme="minorHAnsi" w:eastAsiaTheme="minorEastAsia" w:hAnsiTheme="minorHAnsi" w:cstheme="minorBidi"/>
              <w:noProof/>
              <w:sz w:val="22"/>
              <w:szCs w:val="22"/>
              <w:lang w:val="en-NZ" w:eastAsia="en-NZ"/>
            </w:rPr>
          </w:pPr>
          <w:hyperlink w:anchor="_Toc110249525" w:history="1">
            <w:r w:rsidRPr="00F70B76">
              <w:rPr>
                <w:rStyle w:val="Hyperlink"/>
                <w:noProof/>
              </w:rPr>
              <w:t>Detecting failsafe reporting</w:t>
            </w:r>
            <w:r>
              <w:rPr>
                <w:noProof/>
                <w:webHidden/>
              </w:rPr>
              <w:tab/>
            </w:r>
            <w:r>
              <w:rPr>
                <w:noProof/>
                <w:webHidden/>
              </w:rPr>
              <w:fldChar w:fldCharType="begin"/>
            </w:r>
            <w:r>
              <w:rPr>
                <w:noProof/>
                <w:webHidden/>
              </w:rPr>
              <w:instrText xml:space="preserve"> PAGEREF _Toc110249525 \h </w:instrText>
            </w:r>
            <w:r>
              <w:rPr>
                <w:noProof/>
                <w:webHidden/>
              </w:rPr>
            </w:r>
            <w:r>
              <w:rPr>
                <w:noProof/>
                <w:webHidden/>
              </w:rPr>
              <w:fldChar w:fldCharType="separate"/>
            </w:r>
            <w:r>
              <w:rPr>
                <w:noProof/>
                <w:webHidden/>
              </w:rPr>
              <w:t>5</w:t>
            </w:r>
            <w:r>
              <w:rPr>
                <w:noProof/>
                <w:webHidden/>
              </w:rPr>
              <w:fldChar w:fldCharType="end"/>
            </w:r>
          </w:hyperlink>
        </w:p>
        <w:p w14:paraId="02662789" w14:textId="5B27D981" w:rsidR="00F3364E" w:rsidRDefault="00F3364E">
          <w:pPr>
            <w:pStyle w:val="TOC2"/>
            <w:tabs>
              <w:tab w:val="right" w:leader="dot" w:pos="9016"/>
            </w:tabs>
            <w:rPr>
              <w:rFonts w:asciiTheme="minorHAnsi" w:eastAsiaTheme="minorEastAsia" w:hAnsiTheme="minorHAnsi" w:cstheme="minorBidi"/>
              <w:noProof/>
              <w:sz w:val="22"/>
              <w:szCs w:val="22"/>
              <w:lang w:val="en-NZ" w:eastAsia="en-NZ"/>
            </w:rPr>
          </w:pPr>
          <w:hyperlink w:anchor="_Toc110249526" w:history="1">
            <w:r w:rsidRPr="00F70B76">
              <w:rPr>
                <w:rStyle w:val="Hyperlink"/>
                <w:rFonts w:eastAsia="Times New Roman"/>
                <w:noProof/>
              </w:rPr>
              <w:t>Detecting failsafe categories</w:t>
            </w:r>
            <w:r>
              <w:rPr>
                <w:noProof/>
                <w:webHidden/>
              </w:rPr>
              <w:tab/>
            </w:r>
            <w:r>
              <w:rPr>
                <w:noProof/>
                <w:webHidden/>
              </w:rPr>
              <w:fldChar w:fldCharType="begin"/>
            </w:r>
            <w:r>
              <w:rPr>
                <w:noProof/>
                <w:webHidden/>
              </w:rPr>
              <w:instrText xml:space="preserve"> PAGEREF _Toc110249526 \h </w:instrText>
            </w:r>
            <w:r>
              <w:rPr>
                <w:noProof/>
                <w:webHidden/>
              </w:rPr>
            </w:r>
            <w:r>
              <w:rPr>
                <w:noProof/>
                <w:webHidden/>
              </w:rPr>
              <w:fldChar w:fldCharType="separate"/>
            </w:r>
            <w:r>
              <w:rPr>
                <w:noProof/>
                <w:webHidden/>
              </w:rPr>
              <w:t>7</w:t>
            </w:r>
            <w:r>
              <w:rPr>
                <w:noProof/>
                <w:webHidden/>
              </w:rPr>
              <w:fldChar w:fldCharType="end"/>
            </w:r>
          </w:hyperlink>
        </w:p>
        <w:p w14:paraId="2407522B" w14:textId="39FF9C81" w:rsidR="00F3364E" w:rsidRDefault="00F3364E">
          <w:pPr>
            <w:pStyle w:val="TOC1"/>
            <w:tabs>
              <w:tab w:val="right" w:leader="dot" w:pos="9016"/>
            </w:tabs>
            <w:rPr>
              <w:rFonts w:asciiTheme="minorHAnsi" w:eastAsiaTheme="minorEastAsia" w:hAnsiTheme="minorHAnsi" w:cstheme="minorBidi"/>
              <w:noProof/>
              <w:sz w:val="22"/>
              <w:szCs w:val="22"/>
              <w:lang w:val="en-NZ" w:eastAsia="en-NZ"/>
            </w:rPr>
          </w:pPr>
          <w:hyperlink w:anchor="_Toc110249527" w:history="1">
            <w:r w:rsidRPr="00F70B76">
              <w:rPr>
                <w:rStyle w:val="Hyperlink"/>
                <w:noProof/>
              </w:rPr>
              <w:t>Appendix A</w:t>
            </w:r>
            <w:r>
              <w:rPr>
                <w:noProof/>
                <w:webHidden/>
              </w:rPr>
              <w:tab/>
            </w:r>
            <w:r>
              <w:rPr>
                <w:noProof/>
                <w:webHidden/>
              </w:rPr>
              <w:fldChar w:fldCharType="begin"/>
            </w:r>
            <w:r>
              <w:rPr>
                <w:noProof/>
                <w:webHidden/>
              </w:rPr>
              <w:instrText xml:space="preserve"> PAGEREF _Toc110249527 \h </w:instrText>
            </w:r>
            <w:r>
              <w:rPr>
                <w:noProof/>
                <w:webHidden/>
              </w:rPr>
            </w:r>
            <w:r>
              <w:rPr>
                <w:noProof/>
                <w:webHidden/>
              </w:rPr>
              <w:fldChar w:fldCharType="separate"/>
            </w:r>
            <w:r>
              <w:rPr>
                <w:noProof/>
                <w:webHidden/>
              </w:rPr>
              <w:t>9</w:t>
            </w:r>
            <w:r>
              <w:rPr>
                <w:noProof/>
                <w:webHidden/>
              </w:rPr>
              <w:fldChar w:fldCharType="end"/>
            </w:r>
          </w:hyperlink>
        </w:p>
        <w:p w14:paraId="47E7F338" w14:textId="545946E9" w:rsidR="00F3364E" w:rsidRDefault="00F3364E">
          <w:pPr>
            <w:pStyle w:val="TOC1"/>
            <w:tabs>
              <w:tab w:val="right" w:leader="dot" w:pos="9016"/>
            </w:tabs>
            <w:rPr>
              <w:rFonts w:asciiTheme="minorHAnsi" w:eastAsiaTheme="minorEastAsia" w:hAnsiTheme="minorHAnsi" w:cstheme="minorBidi"/>
              <w:noProof/>
              <w:sz w:val="22"/>
              <w:szCs w:val="22"/>
              <w:lang w:val="en-NZ" w:eastAsia="en-NZ"/>
            </w:rPr>
          </w:pPr>
          <w:hyperlink w:anchor="_Toc110249528" w:history="1">
            <w:r w:rsidRPr="00F70B76">
              <w:rPr>
                <w:rStyle w:val="Hyperlink"/>
                <w:noProof/>
                <w:lang w:eastAsia="en-NZ"/>
              </w:rPr>
              <w:t>Appendix B</w:t>
            </w:r>
            <w:r>
              <w:rPr>
                <w:noProof/>
                <w:webHidden/>
              </w:rPr>
              <w:tab/>
            </w:r>
            <w:r>
              <w:rPr>
                <w:noProof/>
                <w:webHidden/>
              </w:rPr>
              <w:fldChar w:fldCharType="begin"/>
            </w:r>
            <w:r>
              <w:rPr>
                <w:noProof/>
                <w:webHidden/>
              </w:rPr>
              <w:instrText xml:space="preserve"> PAGEREF _Toc110249528 \h </w:instrText>
            </w:r>
            <w:r>
              <w:rPr>
                <w:noProof/>
                <w:webHidden/>
              </w:rPr>
            </w:r>
            <w:r>
              <w:rPr>
                <w:noProof/>
                <w:webHidden/>
              </w:rPr>
              <w:fldChar w:fldCharType="separate"/>
            </w:r>
            <w:r>
              <w:rPr>
                <w:noProof/>
                <w:webHidden/>
              </w:rPr>
              <w:t>10</w:t>
            </w:r>
            <w:r>
              <w:rPr>
                <w:noProof/>
                <w:webHidden/>
              </w:rPr>
              <w:fldChar w:fldCharType="end"/>
            </w:r>
          </w:hyperlink>
        </w:p>
        <w:p w14:paraId="286A93A5" w14:textId="3904D0CA" w:rsidR="00F3364E" w:rsidRDefault="00F3364E">
          <w:pPr>
            <w:pStyle w:val="TOC2"/>
            <w:tabs>
              <w:tab w:val="right" w:leader="dot" w:pos="9016"/>
            </w:tabs>
            <w:rPr>
              <w:rFonts w:asciiTheme="minorHAnsi" w:eastAsiaTheme="minorEastAsia" w:hAnsiTheme="minorHAnsi" w:cstheme="minorBidi"/>
              <w:noProof/>
              <w:sz w:val="22"/>
              <w:szCs w:val="22"/>
              <w:lang w:val="en-NZ" w:eastAsia="en-NZ"/>
            </w:rPr>
          </w:pPr>
          <w:hyperlink w:anchor="_Toc110249529" w:history="1">
            <w:r w:rsidRPr="00F70B76">
              <w:rPr>
                <w:rStyle w:val="Hyperlink"/>
                <w:noProof/>
              </w:rPr>
              <w:t>Detecting Failsafe FAQs</w:t>
            </w:r>
            <w:r>
              <w:rPr>
                <w:noProof/>
                <w:webHidden/>
              </w:rPr>
              <w:tab/>
            </w:r>
            <w:r>
              <w:rPr>
                <w:noProof/>
                <w:webHidden/>
              </w:rPr>
              <w:fldChar w:fldCharType="begin"/>
            </w:r>
            <w:r>
              <w:rPr>
                <w:noProof/>
                <w:webHidden/>
              </w:rPr>
              <w:instrText xml:space="preserve"> PAGEREF _Toc110249529 \h </w:instrText>
            </w:r>
            <w:r>
              <w:rPr>
                <w:noProof/>
                <w:webHidden/>
              </w:rPr>
            </w:r>
            <w:r>
              <w:rPr>
                <w:noProof/>
                <w:webHidden/>
              </w:rPr>
              <w:fldChar w:fldCharType="separate"/>
            </w:r>
            <w:r>
              <w:rPr>
                <w:noProof/>
                <w:webHidden/>
              </w:rPr>
              <w:t>10</w:t>
            </w:r>
            <w:r>
              <w:rPr>
                <w:noProof/>
                <w:webHidden/>
              </w:rPr>
              <w:fldChar w:fldCharType="end"/>
            </w:r>
          </w:hyperlink>
        </w:p>
        <w:p w14:paraId="22196850" w14:textId="1BAEF4CA" w:rsidR="000713CA" w:rsidRDefault="00F3364E">
          <w:r>
            <w:fldChar w:fldCharType="end"/>
          </w:r>
        </w:p>
      </w:sdtContent>
    </w:sdt>
    <w:p w14:paraId="76A478AC" w14:textId="541C394A" w:rsidR="008A5810" w:rsidRDefault="008A5810">
      <w:pPr>
        <w:spacing w:before="0" w:after="160" w:line="2" w:lineRule="auto"/>
        <w:rPr>
          <w:rFonts w:eastAsia="Times New Roman" w:cs="Times New Roman"/>
          <w:b/>
          <w:color w:val="002060"/>
          <w:spacing w:val="-5"/>
          <w:sz w:val="72"/>
          <w:szCs w:val="72"/>
          <w:lang w:eastAsia="en-GB"/>
        </w:rPr>
      </w:pPr>
      <w:r>
        <w:br w:type="page"/>
      </w:r>
    </w:p>
    <w:p w14:paraId="5638760A" w14:textId="35541B34" w:rsidR="00997137" w:rsidRDefault="00997137" w:rsidP="00997137">
      <w:pPr>
        <w:pStyle w:val="Heading1"/>
      </w:pPr>
      <w:bookmarkStart w:id="2" w:name="_Toc110249524"/>
      <w:r>
        <w:lastRenderedPageBreak/>
        <w:t>Definitions</w:t>
      </w:r>
      <w:bookmarkEnd w:id="2"/>
    </w:p>
    <w:tbl>
      <w:tblPr>
        <w:tblStyle w:val="Ministrytable11"/>
        <w:tblW w:w="9493" w:type="dxa"/>
        <w:tblLook w:val="04A0" w:firstRow="1" w:lastRow="0" w:firstColumn="1" w:lastColumn="0" w:noHBand="0" w:noVBand="1"/>
      </w:tblPr>
      <w:tblGrid>
        <w:gridCol w:w="2217"/>
        <w:gridCol w:w="7276"/>
      </w:tblGrid>
      <w:tr w:rsidR="00FA1DF3" w14:paraId="7E85165C" w14:textId="77777777" w:rsidTr="705AC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B73D94" w14:textId="77777777" w:rsidR="00FA1DF3" w:rsidRDefault="00FA1DF3" w:rsidP="00997137"/>
        </w:tc>
        <w:tc>
          <w:tcPr>
            <w:tcW w:w="4984" w:type="dxa"/>
          </w:tcPr>
          <w:p w14:paraId="3CC22152" w14:textId="77777777" w:rsidR="00FA1DF3" w:rsidRDefault="00FA1DF3" w:rsidP="00997137">
            <w:pPr>
              <w:cnfStyle w:val="100000000000" w:firstRow="1" w:lastRow="0" w:firstColumn="0" w:lastColumn="0" w:oddVBand="0" w:evenVBand="0" w:oddHBand="0" w:evenHBand="0" w:firstRowFirstColumn="0" w:firstRowLastColumn="0" w:lastRowFirstColumn="0" w:lastRowLastColumn="0"/>
            </w:pPr>
          </w:p>
        </w:tc>
      </w:tr>
      <w:tr w:rsidR="0052298C" w14:paraId="513A607C" w14:textId="77777777" w:rsidTr="705AC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DFDBD0F" w14:textId="04BA3E2A" w:rsidR="0052298C" w:rsidRDefault="0052298C" w:rsidP="00997137">
            <w:r>
              <w:t xml:space="preserve">Adverse Event Following Immunisation </w:t>
            </w:r>
            <w:r w:rsidR="008C098C">
              <w:t>(</w:t>
            </w:r>
            <w:r w:rsidR="00F107AB">
              <w:t>AEFI</w:t>
            </w:r>
            <w:r w:rsidR="008C098C">
              <w:t>)</w:t>
            </w:r>
          </w:p>
        </w:tc>
        <w:tc>
          <w:tcPr>
            <w:tcW w:w="4984" w:type="dxa"/>
          </w:tcPr>
          <w:p w14:paraId="6A4AC37C" w14:textId="64506B0C" w:rsidR="0052298C" w:rsidRPr="00C463C0" w:rsidRDefault="0015539B" w:rsidP="00997137">
            <w:pPr>
              <w:cnfStyle w:val="000000100000" w:firstRow="0" w:lastRow="0" w:firstColumn="0" w:lastColumn="0" w:oddVBand="0" w:evenVBand="0" w:oddHBand="1" w:evenHBand="0" w:firstRowFirstColumn="0" w:firstRowLastColumn="0" w:lastRowFirstColumn="0" w:lastRowLastColumn="0"/>
              <w:rPr>
                <w:lang w:val="en-NZ"/>
              </w:rPr>
            </w:pPr>
            <w:r>
              <w:t>A</w:t>
            </w:r>
            <w:r w:rsidRPr="0015539B">
              <w:t>n untoward medical event which follows immunisation and does not necessarily have a causal relationship with the administration of the vaccine. The adverse event may be an unfavourable or unintended sign, abnormal laboratory finding, symptom or disease</w:t>
            </w:r>
            <w:r w:rsidR="008C098C">
              <w:t>.</w:t>
            </w:r>
          </w:p>
        </w:tc>
      </w:tr>
      <w:tr w:rsidR="00E15032" w14:paraId="58B09C83" w14:textId="77777777" w:rsidTr="705AC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55D8D39" w14:textId="4D4982AA" w:rsidR="00E15032" w:rsidRDefault="00E15032" w:rsidP="00997137">
            <w:r>
              <w:t>Case</w:t>
            </w:r>
          </w:p>
        </w:tc>
        <w:tc>
          <w:tcPr>
            <w:tcW w:w="4984" w:type="dxa"/>
          </w:tcPr>
          <w:p w14:paraId="30FF9980" w14:textId="02F1F95F" w:rsidR="00E15032" w:rsidRDefault="00E15032" w:rsidP="00997137">
            <w:pPr>
              <w:cnfStyle w:val="000000010000" w:firstRow="0" w:lastRow="0" w:firstColumn="0" w:lastColumn="0" w:oddVBand="0" w:evenVBand="0" w:oddHBand="0" w:evenHBand="1" w:firstRowFirstColumn="0" w:firstRowLastColumn="0" w:lastRowFirstColumn="0" w:lastRowLastColumn="0"/>
            </w:pPr>
            <w:r>
              <w:t>CIR record</w:t>
            </w:r>
          </w:p>
        </w:tc>
      </w:tr>
      <w:tr w:rsidR="00FA1DF3" w14:paraId="7D239AD5" w14:textId="77777777" w:rsidTr="705AC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2B7C3E1" w14:textId="77777777" w:rsidR="00FA1DF3" w:rsidRDefault="00FA1DF3" w:rsidP="00997137">
            <w:r>
              <w:t>COVID-19 Immunisation Register (CIR)</w:t>
            </w:r>
          </w:p>
        </w:tc>
        <w:tc>
          <w:tcPr>
            <w:tcW w:w="4984" w:type="dxa"/>
          </w:tcPr>
          <w:p w14:paraId="6EE25D56" w14:textId="03550A57" w:rsidR="00FA1DF3" w:rsidRDefault="00FA1DF3" w:rsidP="00997137">
            <w:pPr>
              <w:cnfStyle w:val="000000100000" w:firstRow="0" w:lastRow="0" w:firstColumn="0" w:lastColumn="0" w:oddVBand="0" w:evenVBand="0" w:oddHBand="1" w:evenHBand="0" w:firstRowFirstColumn="0" w:firstRowLastColumn="0" w:lastRowFirstColumn="0" w:lastRowLastColumn="0"/>
            </w:pPr>
            <w:r w:rsidRPr="00C463C0">
              <w:rPr>
                <w:lang w:val="en-NZ"/>
              </w:rPr>
              <w:t>Electronic register of consumer COVID-19 vaccination event/s</w:t>
            </w:r>
            <w:r>
              <w:rPr>
                <w:lang w:val="en-NZ"/>
              </w:rPr>
              <w:t>. This is a</w:t>
            </w:r>
            <w:r w:rsidR="002E3809">
              <w:rPr>
                <w:lang w:val="en-NZ"/>
              </w:rPr>
              <w:t>n</w:t>
            </w:r>
            <w:r>
              <w:rPr>
                <w:lang w:val="en-NZ"/>
              </w:rPr>
              <w:t xml:space="preserve"> </w:t>
            </w:r>
            <w:r w:rsidR="00DD0EC9">
              <w:rPr>
                <w:lang w:val="en-NZ"/>
              </w:rPr>
              <w:t xml:space="preserve">electronic clinical </w:t>
            </w:r>
            <w:r>
              <w:rPr>
                <w:lang w:val="en-NZ"/>
              </w:rPr>
              <w:t xml:space="preserve">record. </w:t>
            </w:r>
          </w:p>
        </w:tc>
      </w:tr>
      <w:tr w:rsidR="002F7598" w14:paraId="68414231" w14:textId="77777777" w:rsidTr="705AC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F251F73" w14:textId="57C914CB" w:rsidR="002F7598" w:rsidRDefault="002F7598" w:rsidP="00997137">
            <w:r>
              <w:t>District</w:t>
            </w:r>
          </w:p>
        </w:tc>
        <w:tc>
          <w:tcPr>
            <w:tcW w:w="4984" w:type="dxa"/>
          </w:tcPr>
          <w:p w14:paraId="6E34522C" w14:textId="74E170A2" w:rsidR="002F7598" w:rsidRDefault="002F7598" w:rsidP="00997137">
            <w:pPr>
              <w:cnfStyle w:val="000000010000" w:firstRow="0" w:lastRow="0" w:firstColumn="0" w:lastColumn="0" w:oddVBand="0" w:evenVBand="0" w:oddHBand="0" w:evenHBand="1" w:firstRowFirstColumn="0" w:firstRowLastColumn="0" w:lastRowFirstColumn="0" w:lastRowLastColumn="0"/>
            </w:pPr>
            <w:r>
              <w:t>District is the new term for the previously named District Health Boards (DHB)</w:t>
            </w:r>
          </w:p>
        </w:tc>
      </w:tr>
      <w:tr w:rsidR="00FA1DF3" w14:paraId="1983EA0D" w14:textId="77777777" w:rsidTr="705AC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9F7E17A" w14:textId="77777777" w:rsidR="00FA1DF3" w:rsidRDefault="00FA1DF3" w:rsidP="00997137">
            <w:r>
              <w:t>Data quality error</w:t>
            </w:r>
          </w:p>
        </w:tc>
        <w:tc>
          <w:tcPr>
            <w:tcW w:w="4984" w:type="dxa"/>
          </w:tcPr>
          <w:p w14:paraId="1591E827" w14:textId="77777777" w:rsidR="00FA1DF3" w:rsidRDefault="00FA1DF3" w:rsidP="00997137">
            <w:pPr>
              <w:cnfStyle w:val="000000100000" w:firstRow="0" w:lastRow="0" w:firstColumn="0" w:lastColumn="0" w:oddVBand="0" w:evenVBand="0" w:oddHBand="1" w:evenHBand="0" w:firstRowFirstColumn="0" w:firstRowLastColumn="0" w:lastRowFirstColumn="0" w:lastRowLastColumn="0"/>
            </w:pPr>
            <w:r>
              <w:t>A data quality error is when information was incorrectly entered into the CIR.</w:t>
            </w:r>
          </w:p>
        </w:tc>
      </w:tr>
      <w:tr w:rsidR="00FA1DF3" w14:paraId="5A39F273" w14:textId="77777777" w:rsidTr="705AC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4B6ABF1" w14:textId="77777777" w:rsidR="00FA1DF3" w:rsidRDefault="00FA1DF3" w:rsidP="00997137">
            <w:r>
              <w:t>Detecting Failsafe</w:t>
            </w:r>
          </w:p>
        </w:tc>
        <w:tc>
          <w:tcPr>
            <w:tcW w:w="4984" w:type="dxa"/>
          </w:tcPr>
          <w:p w14:paraId="1EEF37BC" w14:textId="297AAE40" w:rsidR="00FA1DF3" w:rsidRDefault="00FA1DF3" w:rsidP="00997137">
            <w:pPr>
              <w:cnfStyle w:val="000000010000" w:firstRow="0" w:lastRow="0" w:firstColumn="0" w:lastColumn="0" w:oddVBand="0" w:evenVBand="0" w:oddHBand="0" w:evenHBand="1" w:firstRowFirstColumn="0" w:firstRowLastColumn="0" w:lastRowFirstColumn="0" w:lastRowLastColumn="0"/>
            </w:pPr>
            <w:r>
              <w:t xml:space="preserve">A detecting failsafe uses the CIR records to </w:t>
            </w:r>
            <w:r w:rsidR="00DD0EC9">
              <w:t xml:space="preserve">detect unverified adverse events and incidents </w:t>
            </w:r>
            <w:proofErr w:type="gramStart"/>
            <w:r w:rsidR="00DD0EC9">
              <w:t>including</w:t>
            </w:r>
            <w:r w:rsidR="00A01CF7">
              <w:t xml:space="preserve"> </w:t>
            </w:r>
            <w:r w:rsidR="00DD0EC9">
              <w:t>never</w:t>
            </w:r>
            <w:proofErr w:type="gramEnd"/>
            <w:r w:rsidR="00DD0EC9">
              <w:t xml:space="preserve"> events </w:t>
            </w:r>
          </w:p>
        </w:tc>
      </w:tr>
      <w:tr w:rsidR="00FA1DF3" w14:paraId="779E319D" w14:textId="77777777" w:rsidTr="705AC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1706BB" w14:textId="77777777" w:rsidR="00FA1DF3" w:rsidRDefault="00FA1DF3" w:rsidP="00997137">
            <w:r>
              <w:t>Incident</w:t>
            </w:r>
          </w:p>
        </w:tc>
        <w:tc>
          <w:tcPr>
            <w:tcW w:w="4984" w:type="dxa"/>
          </w:tcPr>
          <w:p w14:paraId="1A6A35C9" w14:textId="58A5A0D3" w:rsidR="00FA1DF3" w:rsidRPr="00116196" w:rsidRDefault="00116196" w:rsidP="00997137">
            <w:pPr>
              <w:cnfStyle w:val="000000100000" w:firstRow="0" w:lastRow="0" w:firstColumn="0" w:lastColumn="0" w:oddVBand="0" w:evenVBand="0" w:oddHBand="1" w:evenHBand="0" w:firstRowFirstColumn="0" w:firstRowLastColumn="0" w:lastRowFirstColumn="0" w:lastRowLastColumn="0"/>
            </w:pPr>
            <w:r w:rsidRPr="00116196">
              <w:rPr>
                <w:lang w:val="en-NZ"/>
              </w:rPr>
              <w:t>Incident means any unplanned event resulting in, or having a potential for injury, ill health, damage or other loss (as defined by Australian/New Zealand Standard AS/NZ 4801:2001). An incident includes an accident.</w:t>
            </w:r>
          </w:p>
        </w:tc>
      </w:tr>
      <w:tr w:rsidR="00FA1DF3" w14:paraId="5F01C697" w14:textId="77777777" w:rsidTr="705AC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AE24CD3" w14:textId="77777777" w:rsidR="00FA1DF3" w:rsidRDefault="00FA1DF3" w:rsidP="00997137">
            <w:r>
              <w:t>Monitoring failsafe</w:t>
            </w:r>
          </w:p>
        </w:tc>
        <w:tc>
          <w:tcPr>
            <w:tcW w:w="4984" w:type="dxa"/>
          </w:tcPr>
          <w:p w14:paraId="26A9E6A3" w14:textId="61BE8DE4" w:rsidR="00FA1DF3" w:rsidRDefault="00FA1DF3" w:rsidP="00997137">
            <w:pPr>
              <w:cnfStyle w:val="000000010000" w:firstRow="0" w:lastRow="0" w:firstColumn="0" w:lastColumn="0" w:oddVBand="0" w:evenVBand="0" w:oddHBand="0" w:evenHBand="1" w:firstRowFirstColumn="0" w:firstRowLastColumn="0" w:lastRowFirstColumn="0" w:lastRowLastColumn="0"/>
            </w:pPr>
            <w:r>
              <w:t>A monitoring failsafe uses the CIR to monitor vaccination events that may highlight a pattern</w:t>
            </w:r>
            <w:r w:rsidR="00B23586">
              <w:t xml:space="preserve"> or trend</w:t>
            </w:r>
            <w:r>
              <w:t xml:space="preserve"> of procedural errors.</w:t>
            </w:r>
          </w:p>
        </w:tc>
      </w:tr>
      <w:tr w:rsidR="00FA1DF3" w14:paraId="65AADDBD" w14:textId="77777777" w:rsidTr="705AC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22C84B7" w14:textId="30FAF886" w:rsidR="00FA1DF3" w:rsidRDefault="00FA1DF3" w:rsidP="00997137">
            <w:bookmarkStart w:id="3" w:name="_Hlk100240466"/>
            <w:r>
              <w:t>Never event</w:t>
            </w:r>
          </w:p>
        </w:tc>
        <w:tc>
          <w:tcPr>
            <w:tcW w:w="4984" w:type="dxa"/>
          </w:tcPr>
          <w:p w14:paraId="60EC55F7" w14:textId="318C9463" w:rsidR="00FA1DF3" w:rsidRDefault="00FD750C" w:rsidP="00997137">
            <w:pPr>
              <w:cnfStyle w:val="000000100000" w:firstRow="0" w:lastRow="0" w:firstColumn="0" w:lastColumn="0" w:oddVBand="0" w:evenVBand="0" w:oddHBand="1" w:evenHBand="0" w:firstRowFirstColumn="0" w:firstRowLastColumn="0" w:lastRowFirstColumn="0" w:lastRowLastColumn="0"/>
            </w:pPr>
            <w:r>
              <w:t>A never event is a</w:t>
            </w:r>
            <w:r w:rsidRPr="00FD750C">
              <w:t xml:space="preserve"> serious incident</w:t>
            </w:r>
            <w:r>
              <w:t>. It</w:t>
            </w:r>
            <w:r w:rsidRPr="00FD750C">
              <w:t xml:space="preserve"> </w:t>
            </w:r>
            <w:r w:rsidR="007209D6">
              <w:t>is</w:t>
            </w:r>
            <w:r w:rsidRPr="00FD750C">
              <w:t xml:space="preserve"> considered preventable because guidance or safety recommendations providing strong systemic protective barriers are available at a national level</w:t>
            </w:r>
            <w:r>
              <w:t>. These</w:t>
            </w:r>
            <w:r w:rsidRPr="00FD750C">
              <w:t xml:space="preserve"> should have been implemented by all </w:t>
            </w:r>
            <w:r w:rsidR="003C4B8F">
              <w:t>vaccinating</w:t>
            </w:r>
            <w:r w:rsidRPr="00FD750C">
              <w:t xml:space="preserve"> providers.</w:t>
            </w:r>
            <w:r w:rsidR="003C4B8F">
              <w:t xml:space="preserve"> </w:t>
            </w:r>
          </w:p>
        </w:tc>
      </w:tr>
      <w:bookmarkEnd w:id="3"/>
      <w:tr w:rsidR="00FA1DF3" w14:paraId="7DBD58CD" w14:textId="77777777" w:rsidTr="705AC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70982E9" w14:textId="77777777" w:rsidR="00FA1DF3" w:rsidRDefault="00FA1DF3" w:rsidP="00C026CE">
            <w:r>
              <w:t xml:space="preserve">Unverified Incident  </w:t>
            </w:r>
          </w:p>
        </w:tc>
        <w:tc>
          <w:tcPr>
            <w:tcW w:w="4984" w:type="dxa"/>
          </w:tcPr>
          <w:p w14:paraId="72F00A05" w14:textId="4E468ADC" w:rsidR="00FA1DF3" w:rsidRDefault="008B65A8" w:rsidP="00C026CE">
            <w:pPr>
              <w:cnfStyle w:val="000000010000" w:firstRow="0" w:lastRow="0" w:firstColumn="0" w:lastColumn="0" w:oddVBand="0" w:evenVBand="0" w:oddHBand="0" w:evenHBand="1" w:firstRowFirstColumn="0" w:firstRowLastColumn="0" w:lastRowFirstColumn="0" w:lastRowLastColumn="0"/>
            </w:pPr>
            <w:r>
              <w:t xml:space="preserve"> A CIR report </w:t>
            </w:r>
            <w:r w:rsidR="00FA1DF3">
              <w:t xml:space="preserve">which has been identified as a potential incident and needs </w:t>
            </w:r>
            <w:r w:rsidR="003A1F36">
              <w:t>verification</w:t>
            </w:r>
            <w:r w:rsidR="00FA1DF3">
              <w:t xml:space="preserve"> to determine </w:t>
            </w:r>
            <w:r w:rsidR="00DD0EC9">
              <w:t>the accuracy to eliminate the possibility of a</w:t>
            </w:r>
            <w:r w:rsidR="00FA1DF3">
              <w:t xml:space="preserve"> data quality error</w:t>
            </w:r>
            <w:r w:rsidR="00DD0EC9">
              <w:t>.</w:t>
            </w:r>
          </w:p>
        </w:tc>
      </w:tr>
    </w:tbl>
    <w:p w14:paraId="6A7EFC21" w14:textId="40B76207" w:rsidR="00997137" w:rsidRDefault="00997137" w:rsidP="006D30D9">
      <w:r>
        <w:br w:type="page"/>
      </w:r>
    </w:p>
    <w:p w14:paraId="56E57B74" w14:textId="1B88CF22" w:rsidR="00943B4C" w:rsidRDefault="00B36A08" w:rsidP="001D48F8">
      <w:pPr>
        <w:pStyle w:val="Heading1"/>
      </w:pPr>
      <w:bookmarkStart w:id="4" w:name="_Toc110249525"/>
      <w:r>
        <w:lastRenderedPageBreak/>
        <w:t>Detecting</w:t>
      </w:r>
      <w:r w:rsidR="000A1BB1">
        <w:t xml:space="preserve"> f</w:t>
      </w:r>
      <w:r w:rsidR="00943B4C">
        <w:t>ailsafe reporting</w:t>
      </w:r>
      <w:bookmarkEnd w:id="4"/>
    </w:p>
    <w:p w14:paraId="2100229D" w14:textId="3CC97D3D" w:rsidR="001A6E9E" w:rsidRDefault="005C4ADF" w:rsidP="00BD41D5">
      <w:pPr>
        <w:spacing w:before="120" w:after="120"/>
        <w:rPr>
          <w:lang w:eastAsia="en-GB"/>
        </w:rPr>
      </w:pPr>
      <w:r w:rsidRPr="00132768">
        <w:rPr>
          <w:lang w:eastAsia="en-GB"/>
        </w:rPr>
        <w:t>The purpose</w:t>
      </w:r>
      <w:r w:rsidR="00B476E0" w:rsidRPr="00132768">
        <w:rPr>
          <w:lang w:eastAsia="en-GB"/>
        </w:rPr>
        <w:t xml:space="preserve"> </w:t>
      </w:r>
      <w:r w:rsidR="00F618E3" w:rsidRPr="00132768">
        <w:rPr>
          <w:lang w:eastAsia="en-GB"/>
        </w:rPr>
        <w:t>of</w:t>
      </w:r>
      <w:r w:rsidR="000A1BB1">
        <w:rPr>
          <w:lang w:eastAsia="en-GB"/>
        </w:rPr>
        <w:t xml:space="preserve"> </w:t>
      </w:r>
      <w:r w:rsidR="00CC43EC">
        <w:rPr>
          <w:lang w:eastAsia="en-GB"/>
        </w:rPr>
        <w:t xml:space="preserve">a </w:t>
      </w:r>
      <w:r w:rsidR="00B36A08">
        <w:rPr>
          <w:lang w:eastAsia="en-GB"/>
        </w:rPr>
        <w:t>detecting</w:t>
      </w:r>
      <w:r w:rsidR="00F618E3" w:rsidRPr="00132768">
        <w:rPr>
          <w:lang w:eastAsia="en-GB"/>
        </w:rPr>
        <w:t xml:space="preserve"> failsafe is to</w:t>
      </w:r>
      <w:r w:rsidR="006D26C1" w:rsidRPr="00132768">
        <w:rPr>
          <w:lang w:eastAsia="en-GB"/>
        </w:rPr>
        <w:t xml:space="preserve"> </w:t>
      </w:r>
      <w:r w:rsidR="0007257B">
        <w:rPr>
          <w:lang w:eastAsia="en-GB"/>
        </w:rPr>
        <w:t>identify</w:t>
      </w:r>
      <w:r w:rsidR="00584C38" w:rsidRPr="00132768">
        <w:rPr>
          <w:lang w:eastAsia="en-GB"/>
        </w:rPr>
        <w:t xml:space="preserve"> </w:t>
      </w:r>
      <w:r w:rsidR="00326D8B">
        <w:rPr>
          <w:lang w:eastAsia="en-GB"/>
        </w:rPr>
        <w:t xml:space="preserve">an </w:t>
      </w:r>
      <w:r w:rsidR="00623F62" w:rsidRPr="00132768">
        <w:rPr>
          <w:lang w:eastAsia="en-GB"/>
        </w:rPr>
        <w:t xml:space="preserve">unverified </w:t>
      </w:r>
      <w:r w:rsidR="00CC43EC" w:rsidRPr="00132768">
        <w:rPr>
          <w:lang w:eastAsia="en-GB"/>
        </w:rPr>
        <w:t>incident</w:t>
      </w:r>
      <w:r w:rsidR="00DA49E9">
        <w:rPr>
          <w:lang w:eastAsia="en-GB"/>
        </w:rPr>
        <w:t xml:space="preserve"> </w:t>
      </w:r>
      <w:r w:rsidR="00B134DC" w:rsidRPr="00132768">
        <w:rPr>
          <w:lang w:eastAsia="en-GB"/>
        </w:rPr>
        <w:t xml:space="preserve">which may </w:t>
      </w:r>
      <w:r w:rsidR="00B134DC">
        <w:rPr>
          <w:lang w:eastAsia="en-GB"/>
        </w:rPr>
        <w:t>be the cause of</w:t>
      </w:r>
      <w:r w:rsidR="00B134DC" w:rsidRPr="00132768">
        <w:rPr>
          <w:lang w:eastAsia="en-GB"/>
        </w:rPr>
        <w:t xml:space="preserve"> harm to a consumer</w:t>
      </w:r>
      <w:r w:rsidR="00B134DC">
        <w:rPr>
          <w:lang w:eastAsia="en-GB"/>
        </w:rPr>
        <w:t xml:space="preserve"> and </w:t>
      </w:r>
      <w:r w:rsidR="00090DA2">
        <w:rPr>
          <w:lang w:eastAsia="en-GB"/>
        </w:rPr>
        <w:t xml:space="preserve">or </w:t>
      </w:r>
      <w:r w:rsidR="00326D8B">
        <w:rPr>
          <w:lang w:eastAsia="en-GB"/>
        </w:rPr>
        <w:t xml:space="preserve">a </w:t>
      </w:r>
      <w:r w:rsidR="00584C38" w:rsidRPr="00132768">
        <w:rPr>
          <w:lang w:eastAsia="en-GB"/>
        </w:rPr>
        <w:t xml:space="preserve">data </w:t>
      </w:r>
      <w:r w:rsidR="00B94BD2">
        <w:rPr>
          <w:lang w:eastAsia="en-GB"/>
        </w:rPr>
        <w:t>entry</w:t>
      </w:r>
      <w:r w:rsidR="00584C38" w:rsidRPr="00132768">
        <w:rPr>
          <w:lang w:eastAsia="en-GB"/>
        </w:rPr>
        <w:t xml:space="preserve"> error</w:t>
      </w:r>
      <w:r w:rsidR="00F618E3" w:rsidRPr="00132768">
        <w:rPr>
          <w:lang w:eastAsia="en-GB"/>
        </w:rPr>
        <w:t>.</w:t>
      </w:r>
      <w:r w:rsidR="00C04099">
        <w:rPr>
          <w:lang w:eastAsia="en-GB"/>
        </w:rPr>
        <w:t xml:space="preserve"> </w:t>
      </w:r>
      <w:r w:rsidR="00C00D2E">
        <w:rPr>
          <w:lang w:eastAsia="en-GB"/>
        </w:rPr>
        <w:t>The d</w:t>
      </w:r>
      <w:r w:rsidR="00BD41D5">
        <w:rPr>
          <w:lang w:eastAsia="en-GB"/>
        </w:rPr>
        <w:t xml:space="preserve">etecting </w:t>
      </w:r>
      <w:r w:rsidR="00F54915">
        <w:rPr>
          <w:lang w:eastAsia="en-GB"/>
        </w:rPr>
        <w:t>failsafe</w:t>
      </w:r>
      <w:r w:rsidR="00BD41D5">
        <w:rPr>
          <w:lang w:eastAsia="en-GB"/>
        </w:rPr>
        <w:t xml:space="preserve"> </w:t>
      </w:r>
      <w:r w:rsidR="00C00D2E">
        <w:rPr>
          <w:lang w:eastAsia="en-GB"/>
        </w:rPr>
        <w:t>is</w:t>
      </w:r>
      <w:r w:rsidR="00BD41D5">
        <w:rPr>
          <w:lang w:eastAsia="en-GB"/>
        </w:rPr>
        <w:t xml:space="preserve"> a tool in the </w:t>
      </w:r>
      <w:r w:rsidR="0007257B">
        <w:rPr>
          <w:lang w:eastAsia="en-GB"/>
        </w:rPr>
        <w:t>National Immunisation Programme</w:t>
      </w:r>
      <w:r w:rsidR="001A6E9E">
        <w:rPr>
          <w:lang w:eastAsia="en-GB"/>
        </w:rPr>
        <w:t>’s</w:t>
      </w:r>
      <w:r w:rsidR="0007257B">
        <w:rPr>
          <w:lang w:eastAsia="en-GB"/>
        </w:rPr>
        <w:t xml:space="preserve"> (</w:t>
      </w:r>
      <w:r w:rsidR="00BD41D5">
        <w:rPr>
          <w:lang w:eastAsia="en-GB"/>
        </w:rPr>
        <w:t>NIP</w:t>
      </w:r>
      <w:r w:rsidR="0007257B">
        <w:rPr>
          <w:lang w:eastAsia="en-GB"/>
        </w:rPr>
        <w:t>)</w:t>
      </w:r>
      <w:r w:rsidR="00BD41D5">
        <w:rPr>
          <w:lang w:eastAsia="en-GB"/>
        </w:rPr>
        <w:t xml:space="preserve"> quality assurance framework</w:t>
      </w:r>
      <w:r w:rsidR="00084DDA">
        <w:rPr>
          <w:lang w:eastAsia="en-GB"/>
        </w:rPr>
        <w:t xml:space="preserve"> which </w:t>
      </w:r>
      <w:r w:rsidR="00BD41D5">
        <w:rPr>
          <w:lang w:eastAsia="en-GB"/>
        </w:rPr>
        <w:t>contribute</w:t>
      </w:r>
      <w:r w:rsidR="00B134DC">
        <w:rPr>
          <w:lang w:eastAsia="en-GB"/>
        </w:rPr>
        <w:t>s</w:t>
      </w:r>
      <w:r w:rsidR="00BD41D5">
        <w:rPr>
          <w:lang w:eastAsia="en-GB"/>
        </w:rPr>
        <w:t xml:space="preserve"> to</w:t>
      </w:r>
      <w:r w:rsidR="00B134DC">
        <w:rPr>
          <w:lang w:eastAsia="en-GB"/>
        </w:rPr>
        <w:t xml:space="preserve"> system level</w:t>
      </w:r>
      <w:r w:rsidR="00BD41D5">
        <w:rPr>
          <w:lang w:eastAsia="en-GB"/>
        </w:rPr>
        <w:t xml:space="preserve"> incident management and continuous quality improvement.</w:t>
      </w:r>
      <w:r w:rsidR="0007257B" w:rsidRPr="0007257B">
        <w:rPr>
          <w:lang w:eastAsia="en-GB"/>
        </w:rPr>
        <w:t xml:space="preserve"> </w:t>
      </w:r>
    </w:p>
    <w:p w14:paraId="54C06095" w14:textId="7E293526" w:rsidR="00592D39" w:rsidRDefault="08E2275F" w:rsidP="002E5E61">
      <w:pPr>
        <w:tabs>
          <w:tab w:val="left" w:pos="2592"/>
        </w:tabs>
        <w:spacing w:before="120" w:after="120"/>
        <w:rPr>
          <w:lang w:eastAsia="en-GB"/>
        </w:rPr>
      </w:pPr>
      <w:r w:rsidRPr="586503E9">
        <w:rPr>
          <w:lang w:eastAsia="en-GB"/>
        </w:rPr>
        <w:t xml:space="preserve">The quality and safety </w:t>
      </w:r>
      <w:r w:rsidR="2BEA439E" w:rsidRPr="586503E9">
        <w:rPr>
          <w:lang w:eastAsia="en-GB"/>
        </w:rPr>
        <w:t>of the</w:t>
      </w:r>
      <w:r w:rsidRPr="586503E9">
        <w:rPr>
          <w:lang w:eastAsia="en-GB"/>
        </w:rPr>
        <w:t xml:space="preserve"> </w:t>
      </w:r>
      <w:r w:rsidR="3C8716C6" w:rsidRPr="586503E9">
        <w:rPr>
          <w:lang w:eastAsia="en-GB"/>
        </w:rPr>
        <w:t>imm</w:t>
      </w:r>
      <w:r w:rsidR="2BEA439E" w:rsidRPr="586503E9">
        <w:rPr>
          <w:lang w:eastAsia="en-GB"/>
        </w:rPr>
        <w:t>unisation</w:t>
      </w:r>
      <w:r w:rsidR="3C8716C6" w:rsidRPr="586503E9">
        <w:rPr>
          <w:lang w:eastAsia="en-GB"/>
        </w:rPr>
        <w:t xml:space="preserve"> </w:t>
      </w:r>
      <w:r w:rsidR="2BEA439E" w:rsidRPr="586503E9">
        <w:rPr>
          <w:lang w:eastAsia="en-GB"/>
        </w:rPr>
        <w:t>programme</w:t>
      </w:r>
      <w:r w:rsidR="3C8716C6" w:rsidRPr="586503E9">
        <w:rPr>
          <w:lang w:eastAsia="en-GB"/>
        </w:rPr>
        <w:t xml:space="preserve"> </w:t>
      </w:r>
      <w:r w:rsidR="7254D48A" w:rsidRPr="586503E9">
        <w:rPr>
          <w:lang w:eastAsia="en-GB"/>
        </w:rPr>
        <w:t>is</w:t>
      </w:r>
      <w:r w:rsidR="5F22EEA9" w:rsidRPr="586503E9">
        <w:rPr>
          <w:lang w:eastAsia="en-GB"/>
        </w:rPr>
        <w:t xml:space="preserve"> focusing on </w:t>
      </w:r>
      <w:r w:rsidR="2BEA439E" w:rsidRPr="586503E9">
        <w:rPr>
          <w:lang w:eastAsia="en-GB"/>
        </w:rPr>
        <w:t xml:space="preserve">preventive actions to assure a </w:t>
      </w:r>
      <w:r w:rsidR="5F22EEA9" w:rsidRPr="586503E9">
        <w:rPr>
          <w:lang w:eastAsia="en-GB"/>
        </w:rPr>
        <w:t xml:space="preserve">safe, quality </w:t>
      </w:r>
      <w:r w:rsidR="7254D48A" w:rsidRPr="586503E9">
        <w:rPr>
          <w:lang w:eastAsia="en-GB"/>
        </w:rPr>
        <w:t>vaccination</w:t>
      </w:r>
      <w:r w:rsidR="5F22EEA9" w:rsidRPr="586503E9">
        <w:rPr>
          <w:lang w:eastAsia="en-GB"/>
        </w:rPr>
        <w:t xml:space="preserve"> </w:t>
      </w:r>
      <w:r w:rsidR="2BEA439E" w:rsidRPr="586503E9">
        <w:rPr>
          <w:lang w:eastAsia="en-GB"/>
        </w:rPr>
        <w:t>experience</w:t>
      </w:r>
      <w:r w:rsidR="5F22EEA9" w:rsidRPr="586503E9">
        <w:rPr>
          <w:lang w:eastAsia="en-GB"/>
        </w:rPr>
        <w:t xml:space="preserve"> for all </w:t>
      </w:r>
      <w:r w:rsidR="7254D48A" w:rsidRPr="586503E9">
        <w:rPr>
          <w:lang w:eastAsia="en-GB"/>
        </w:rPr>
        <w:t xml:space="preserve">consumers. </w:t>
      </w:r>
      <w:r w:rsidR="00326D8B" w:rsidRPr="586503E9">
        <w:rPr>
          <w:lang w:eastAsia="en-GB"/>
        </w:rPr>
        <w:t xml:space="preserve">The detecting </w:t>
      </w:r>
      <w:proofErr w:type="spellStart"/>
      <w:r w:rsidR="00326D8B" w:rsidRPr="586503E9">
        <w:rPr>
          <w:lang w:eastAsia="en-GB"/>
        </w:rPr>
        <w:t>failsafes</w:t>
      </w:r>
      <w:proofErr w:type="spellEnd"/>
      <w:r w:rsidR="00326D8B" w:rsidRPr="586503E9">
        <w:rPr>
          <w:lang w:eastAsia="en-GB"/>
        </w:rPr>
        <w:t xml:space="preserve"> do not detect all NIP incidents or adverse events.</w:t>
      </w:r>
    </w:p>
    <w:p w14:paraId="3DF0FB2D" w14:textId="7EC0447F" w:rsidR="3113A5A8" w:rsidRDefault="3113A5A8">
      <w:r>
        <w:t xml:space="preserve">A never event is a serious incident. It </w:t>
      </w:r>
      <w:r w:rsidR="414556EE">
        <w:t>is</w:t>
      </w:r>
      <w:r>
        <w:t xml:space="preserve"> considered preventable because guidance or safety recommendations providing strong systemic protective barriers are available at a national level. These should have been implemented by all </w:t>
      </w:r>
      <w:r w:rsidR="0E5EC4DF">
        <w:t>vaccinating</w:t>
      </w:r>
      <w:r>
        <w:t xml:space="preserve"> providers.</w:t>
      </w:r>
    </w:p>
    <w:p w14:paraId="5D60B748" w14:textId="0DE8FF4C" w:rsidR="00272804" w:rsidRDefault="5FB62AB9" w:rsidP="002E5E61">
      <w:pPr>
        <w:tabs>
          <w:tab w:val="left" w:pos="2592"/>
        </w:tabs>
        <w:spacing w:before="120" w:after="120"/>
        <w:rPr>
          <w:lang w:eastAsia="en-GB"/>
        </w:rPr>
      </w:pPr>
      <w:r w:rsidRPr="586503E9">
        <w:rPr>
          <w:lang w:eastAsia="en-GB"/>
        </w:rPr>
        <w:t xml:space="preserve">Not all NIP incidents </w:t>
      </w:r>
      <w:r w:rsidR="2BEA439E" w:rsidRPr="586503E9">
        <w:rPr>
          <w:lang w:eastAsia="en-GB"/>
        </w:rPr>
        <w:t>are</w:t>
      </w:r>
      <w:r w:rsidRPr="586503E9">
        <w:rPr>
          <w:lang w:eastAsia="en-GB"/>
        </w:rPr>
        <w:t xml:space="preserve"> never events. W</w:t>
      </w:r>
      <w:r w:rsidR="472091F7" w:rsidRPr="586503E9">
        <w:rPr>
          <w:lang w:eastAsia="en-GB"/>
        </w:rPr>
        <w:t xml:space="preserve">hen an incident is </w:t>
      </w:r>
      <w:r w:rsidR="2BEA439E" w:rsidRPr="586503E9">
        <w:rPr>
          <w:lang w:eastAsia="en-GB"/>
        </w:rPr>
        <w:t>a</w:t>
      </w:r>
      <w:r w:rsidR="472091F7" w:rsidRPr="586503E9">
        <w:rPr>
          <w:lang w:eastAsia="en-GB"/>
        </w:rPr>
        <w:t xml:space="preserve"> never </w:t>
      </w:r>
      <w:r w:rsidR="003501DB" w:rsidRPr="586503E9">
        <w:rPr>
          <w:lang w:eastAsia="en-GB"/>
        </w:rPr>
        <w:t>event,</w:t>
      </w:r>
      <w:r w:rsidR="472091F7" w:rsidRPr="586503E9">
        <w:rPr>
          <w:lang w:eastAsia="en-GB"/>
        </w:rPr>
        <w:t xml:space="preserve"> </w:t>
      </w:r>
      <w:r w:rsidR="2BEA439E" w:rsidRPr="586503E9">
        <w:rPr>
          <w:lang w:eastAsia="en-GB"/>
        </w:rPr>
        <w:t xml:space="preserve">it is </w:t>
      </w:r>
      <w:r w:rsidR="33FBD453" w:rsidRPr="586503E9">
        <w:rPr>
          <w:lang w:eastAsia="en-GB"/>
        </w:rPr>
        <w:t xml:space="preserve">considered </w:t>
      </w:r>
      <w:r w:rsidR="472091F7" w:rsidRPr="586503E9">
        <w:rPr>
          <w:lang w:eastAsia="en-GB"/>
        </w:rPr>
        <w:t xml:space="preserve">avoidable </w:t>
      </w:r>
      <w:r w:rsidR="00326D8B" w:rsidRPr="586503E9">
        <w:rPr>
          <w:lang w:eastAsia="en-GB"/>
        </w:rPr>
        <w:t xml:space="preserve">when </w:t>
      </w:r>
      <w:r w:rsidR="472091F7" w:rsidRPr="586503E9">
        <w:rPr>
          <w:lang w:eastAsia="en-GB"/>
        </w:rPr>
        <w:t xml:space="preserve">available preventative measures have been implemented. The importance, rationale and good practice use of relevant barriers should be fully understood by and robustly sustained throughout the system, including </w:t>
      </w:r>
      <w:r w:rsidR="3A11483E" w:rsidRPr="586503E9">
        <w:rPr>
          <w:lang w:eastAsia="en-GB"/>
        </w:rPr>
        <w:t xml:space="preserve">through </w:t>
      </w:r>
      <w:r w:rsidR="472091F7" w:rsidRPr="586503E9">
        <w:rPr>
          <w:lang w:eastAsia="en-GB"/>
        </w:rPr>
        <w:t>the preparation of the vaccinating health workforce.</w:t>
      </w:r>
    </w:p>
    <w:p w14:paraId="627A2455" w14:textId="2EEBB498" w:rsidR="00AE6997" w:rsidRDefault="260079B6" w:rsidP="00AE6997">
      <w:pPr>
        <w:spacing w:before="120" w:after="120"/>
        <w:rPr>
          <w:lang w:eastAsia="en-GB"/>
        </w:rPr>
      </w:pPr>
      <w:r w:rsidRPr="586503E9">
        <w:rPr>
          <w:lang w:eastAsia="en-GB"/>
        </w:rPr>
        <w:t>There are NIP never events</w:t>
      </w:r>
      <w:r w:rsidR="000175DF">
        <w:rPr>
          <w:lang w:eastAsia="en-GB"/>
        </w:rPr>
        <w:t xml:space="preserve"> such as</w:t>
      </w:r>
      <w:r w:rsidRPr="586503E9">
        <w:rPr>
          <w:lang w:eastAsia="en-GB"/>
        </w:rPr>
        <w:t>:</w:t>
      </w:r>
    </w:p>
    <w:p w14:paraId="50D72BA3" w14:textId="3ABB4911" w:rsidR="004E623D" w:rsidRDefault="004E623D" w:rsidP="586503E9">
      <w:pPr>
        <w:pStyle w:val="ListParagraph"/>
        <w:numPr>
          <w:ilvl w:val="0"/>
          <w:numId w:val="29"/>
        </w:numPr>
        <w:spacing w:before="120" w:after="120"/>
        <w:rPr>
          <w:lang w:eastAsia="en-GB"/>
        </w:rPr>
      </w:pPr>
      <w:r>
        <w:rPr>
          <w:lang w:eastAsia="en-GB"/>
        </w:rPr>
        <w:t xml:space="preserve">Vaccination administered </w:t>
      </w:r>
      <w:r w:rsidR="00F55E33">
        <w:rPr>
          <w:lang w:eastAsia="en-GB"/>
        </w:rPr>
        <w:t>outside</w:t>
      </w:r>
      <w:r>
        <w:rPr>
          <w:lang w:eastAsia="en-GB"/>
        </w:rPr>
        <w:t xml:space="preserve"> Medsafe approved </w:t>
      </w:r>
      <w:r w:rsidR="00694575">
        <w:rPr>
          <w:lang w:eastAsia="en-GB"/>
        </w:rPr>
        <w:t xml:space="preserve">or Programme recommended </w:t>
      </w:r>
      <w:r>
        <w:rPr>
          <w:lang w:eastAsia="en-GB"/>
        </w:rPr>
        <w:t>use</w:t>
      </w:r>
      <w:r w:rsidR="001401C4">
        <w:rPr>
          <w:lang w:eastAsia="en-GB"/>
        </w:rPr>
        <w:t>:</w:t>
      </w:r>
    </w:p>
    <w:p w14:paraId="36E133DD" w14:textId="76598BB0" w:rsidR="586503E9" w:rsidRDefault="586503E9" w:rsidP="009A33B2">
      <w:pPr>
        <w:pStyle w:val="ListParagraph"/>
        <w:numPr>
          <w:ilvl w:val="1"/>
          <w:numId w:val="29"/>
        </w:numPr>
        <w:spacing w:before="120" w:after="120"/>
        <w:rPr>
          <w:lang w:eastAsia="en-GB"/>
        </w:rPr>
      </w:pPr>
      <w:r w:rsidRPr="586503E9">
        <w:rPr>
          <w:lang w:eastAsia="en-GB"/>
        </w:rPr>
        <w:t xml:space="preserve">A second primary dose of the Pfizer or </w:t>
      </w:r>
      <w:r w:rsidR="00285C1F" w:rsidRPr="586503E9">
        <w:rPr>
          <w:lang w:eastAsia="en-GB"/>
        </w:rPr>
        <w:t>Nov</w:t>
      </w:r>
      <w:r w:rsidR="00285C1F">
        <w:rPr>
          <w:lang w:eastAsia="en-GB"/>
        </w:rPr>
        <w:t>a</w:t>
      </w:r>
      <w:r w:rsidR="00285C1F" w:rsidRPr="586503E9">
        <w:rPr>
          <w:lang w:eastAsia="en-GB"/>
        </w:rPr>
        <w:t xml:space="preserve">vax </w:t>
      </w:r>
      <w:r w:rsidRPr="586503E9">
        <w:rPr>
          <w:lang w:eastAsia="en-GB"/>
        </w:rPr>
        <w:t xml:space="preserve">vaccines administered </w:t>
      </w:r>
      <w:r w:rsidR="00DD3F5E">
        <w:rPr>
          <w:lang w:eastAsia="en-GB"/>
        </w:rPr>
        <w:t xml:space="preserve">at </w:t>
      </w:r>
      <w:r w:rsidRPr="586503E9">
        <w:rPr>
          <w:lang w:eastAsia="en-GB"/>
        </w:rPr>
        <w:t>21 days</w:t>
      </w:r>
      <w:r w:rsidR="00DD3F5E">
        <w:rPr>
          <w:lang w:eastAsia="en-GB"/>
        </w:rPr>
        <w:t xml:space="preserve"> or earlier</w:t>
      </w:r>
      <w:r w:rsidRPr="586503E9">
        <w:rPr>
          <w:lang w:eastAsia="en-GB"/>
        </w:rPr>
        <w:t xml:space="preserve">, or the AstraZeneca vaccine administered </w:t>
      </w:r>
      <w:r w:rsidR="00DD3F5E">
        <w:rPr>
          <w:lang w:eastAsia="en-GB"/>
        </w:rPr>
        <w:t xml:space="preserve">at </w:t>
      </w:r>
      <w:r w:rsidRPr="586503E9">
        <w:rPr>
          <w:lang w:eastAsia="en-GB"/>
        </w:rPr>
        <w:t>28 days</w:t>
      </w:r>
      <w:r w:rsidR="00A93411">
        <w:rPr>
          <w:lang w:eastAsia="en-GB"/>
        </w:rPr>
        <w:t xml:space="preserve"> or earlier</w:t>
      </w:r>
      <w:r w:rsidRPr="586503E9">
        <w:rPr>
          <w:lang w:eastAsia="en-GB"/>
        </w:rPr>
        <w:t>.</w:t>
      </w:r>
    </w:p>
    <w:p w14:paraId="4204DB4C" w14:textId="0742B201" w:rsidR="002E5E61" w:rsidRDefault="003B68BD" w:rsidP="009A33B2">
      <w:pPr>
        <w:pStyle w:val="ListParagraph"/>
        <w:numPr>
          <w:ilvl w:val="1"/>
          <w:numId w:val="29"/>
        </w:numPr>
        <w:spacing w:before="120" w:after="120"/>
        <w:rPr>
          <w:lang w:eastAsia="en-GB"/>
        </w:rPr>
      </w:pPr>
      <w:r>
        <w:rPr>
          <w:lang w:eastAsia="en-GB"/>
        </w:rPr>
        <w:t>A v</w:t>
      </w:r>
      <w:r w:rsidR="002E5E61">
        <w:rPr>
          <w:lang w:eastAsia="en-GB"/>
        </w:rPr>
        <w:t>accination</w:t>
      </w:r>
      <w:r>
        <w:rPr>
          <w:lang w:eastAsia="en-GB"/>
        </w:rPr>
        <w:t xml:space="preserve"> admi</w:t>
      </w:r>
      <w:r w:rsidR="00272804">
        <w:rPr>
          <w:lang w:eastAsia="en-GB"/>
        </w:rPr>
        <w:t>nistered</w:t>
      </w:r>
      <w:r>
        <w:rPr>
          <w:lang w:eastAsia="en-GB"/>
        </w:rPr>
        <w:t xml:space="preserve"> </w:t>
      </w:r>
      <w:r w:rsidR="00272804">
        <w:rPr>
          <w:lang w:eastAsia="en-GB"/>
        </w:rPr>
        <w:t>without prescription</w:t>
      </w:r>
      <w:r w:rsidR="001B2302">
        <w:rPr>
          <w:lang w:eastAsia="en-GB"/>
        </w:rPr>
        <w:t xml:space="preserve"> to a</w:t>
      </w:r>
      <w:r w:rsidR="00272804">
        <w:rPr>
          <w:lang w:eastAsia="en-GB"/>
        </w:rPr>
        <w:t xml:space="preserve"> </w:t>
      </w:r>
      <w:r w:rsidR="001B2302">
        <w:rPr>
          <w:lang w:eastAsia="en-GB"/>
        </w:rPr>
        <w:t>per</w:t>
      </w:r>
      <w:r w:rsidR="00272804">
        <w:rPr>
          <w:lang w:eastAsia="en-GB"/>
        </w:rPr>
        <w:t>son</w:t>
      </w:r>
      <w:r w:rsidR="001B2302">
        <w:rPr>
          <w:lang w:eastAsia="en-GB"/>
        </w:rPr>
        <w:t xml:space="preserve"> </w:t>
      </w:r>
      <w:r w:rsidR="00272804">
        <w:rPr>
          <w:lang w:eastAsia="en-GB"/>
        </w:rPr>
        <w:t>younger</w:t>
      </w:r>
      <w:r w:rsidR="001B2302">
        <w:rPr>
          <w:lang w:eastAsia="en-GB"/>
        </w:rPr>
        <w:t xml:space="preserve"> than </w:t>
      </w:r>
      <w:r w:rsidR="0044073C">
        <w:rPr>
          <w:lang w:eastAsia="en-GB"/>
        </w:rPr>
        <w:t xml:space="preserve">the </w:t>
      </w:r>
      <w:r>
        <w:rPr>
          <w:lang w:eastAsia="en-GB"/>
        </w:rPr>
        <w:t xml:space="preserve">approved </w:t>
      </w:r>
      <w:r w:rsidR="0044073C">
        <w:rPr>
          <w:lang w:eastAsia="en-GB"/>
        </w:rPr>
        <w:t>minimum</w:t>
      </w:r>
      <w:r>
        <w:rPr>
          <w:lang w:eastAsia="en-GB"/>
        </w:rPr>
        <w:t xml:space="preserve"> </w:t>
      </w:r>
      <w:r w:rsidR="002E5E61">
        <w:rPr>
          <w:lang w:eastAsia="en-GB"/>
        </w:rPr>
        <w:t>age requirement</w:t>
      </w:r>
      <w:r w:rsidR="009C4996">
        <w:rPr>
          <w:lang w:eastAsia="en-GB"/>
        </w:rPr>
        <w:t xml:space="preserve"> </w:t>
      </w:r>
      <w:r w:rsidR="0020751B">
        <w:rPr>
          <w:lang w:eastAsia="en-GB"/>
        </w:rPr>
        <w:t xml:space="preserve">this includes </w:t>
      </w:r>
      <w:r w:rsidR="0020751B" w:rsidRPr="0020751B">
        <w:rPr>
          <w:lang w:val="en-GB" w:eastAsia="en-GB"/>
        </w:rPr>
        <w:t>an adult/</w:t>
      </w:r>
      <w:r w:rsidR="00D74882" w:rsidRPr="0020751B">
        <w:rPr>
          <w:lang w:val="en-GB" w:eastAsia="en-GB"/>
        </w:rPr>
        <w:t>paediatric</w:t>
      </w:r>
      <w:r w:rsidR="0020751B" w:rsidRPr="0020751B">
        <w:rPr>
          <w:lang w:val="en-GB" w:eastAsia="en-GB"/>
        </w:rPr>
        <w:t xml:space="preserve"> dose administered in error</w:t>
      </w:r>
      <w:r w:rsidR="00CF5BF5">
        <w:rPr>
          <w:lang w:eastAsia="en-GB"/>
        </w:rPr>
        <w:t>.</w:t>
      </w:r>
    </w:p>
    <w:p w14:paraId="5C484BA5" w14:textId="74EB5727" w:rsidR="002E5E61" w:rsidRDefault="001F6A61" w:rsidP="002E5E61">
      <w:pPr>
        <w:pStyle w:val="ListParagraph"/>
        <w:numPr>
          <w:ilvl w:val="0"/>
          <w:numId w:val="29"/>
        </w:numPr>
        <w:spacing w:before="120" w:after="120"/>
        <w:rPr>
          <w:lang w:eastAsia="en-GB"/>
        </w:rPr>
      </w:pPr>
      <w:r w:rsidRPr="001F6A61">
        <w:rPr>
          <w:lang w:val="en-GB" w:eastAsia="en-GB"/>
        </w:rPr>
        <w:t xml:space="preserve">A dose of </w:t>
      </w:r>
      <w:r w:rsidR="009A33B2">
        <w:rPr>
          <w:lang w:val="en-GB" w:eastAsia="en-GB"/>
        </w:rPr>
        <w:t>an incorrect</w:t>
      </w:r>
      <w:r w:rsidR="004E623D" w:rsidRPr="001F6A61">
        <w:rPr>
          <w:lang w:val="en-GB" w:eastAsia="en-GB"/>
        </w:rPr>
        <w:t xml:space="preserve"> </w:t>
      </w:r>
      <w:r w:rsidRPr="001F6A61">
        <w:rPr>
          <w:lang w:val="en-GB" w:eastAsia="en-GB"/>
        </w:rPr>
        <w:t>vaccine administered to a consumer (</w:t>
      </w:r>
      <w:r w:rsidR="002D1108" w:rsidRPr="002D1108">
        <w:rPr>
          <w:lang w:val="en-GB" w:eastAsia="en-GB"/>
        </w:rPr>
        <w:t>eg, consumer wanted the AstraZeneca vaccine, however, was administered a dose of the Pfizer vaccine</w:t>
      </w:r>
      <w:r w:rsidRPr="001F6A61">
        <w:rPr>
          <w:lang w:val="en-GB" w:eastAsia="en-GB"/>
        </w:rPr>
        <w:t>)</w:t>
      </w:r>
      <w:r w:rsidR="00503A12">
        <w:rPr>
          <w:lang w:val="en-GB" w:eastAsia="en-GB"/>
        </w:rPr>
        <w:t>.</w:t>
      </w:r>
    </w:p>
    <w:p w14:paraId="5C8AF206" w14:textId="00131EE3" w:rsidR="002E5E61" w:rsidRDefault="4E07984D" w:rsidP="002E5E61">
      <w:pPr>
        <w:spacing w:before="120" w:after="120"/>
        <w:rPr>
          <w:lang w:eastAsia="en-GB"/>
        </w:rPr>
      </w:pPr>
      <w:r w:rsidRPr="586503E9">
        <w:rPr>
          <w:b/>
          <w:bCs/>
          <w:lang w:eastAsia="en-GB"/>
        </w:rPr>
        <w:t>Note:</w:t>
      </w:r>
      <w:r w:rsidRPr="586503E9">
        <w:rPr>
          <w:lang w:eastAsia="en-GB"/>
        </w:rPr>
        <w:t xml:space="preserve"> For more detail around </w:t>
      </w:r>
      <w:r w:rsidR="00893EAE">
        <w:rPr>
          <w:lang w:eastAsia="en-GB"/>
        </w:rPr>
        <w:t xml:space="preserve">never events and </w:t>
      </w:r>
      <w:r w:rsidRPr="586503E9">
        <w:rPr>
          <w:lang w:eastAsia="en-GB"/>
        </w:rPr>
        <w:t xml:space="preserve">serious adverse events of COVID-19 vaccines included in the detecting failsafe please see </w:t>
      </w:r>
      <w:r w:rsidRPr="586503E9">
        <w:rPr>
          <w:b/>
          <w:bCs/>
          <w:lang w:eastAsia="en-GB"/>
        </w:rPr>
        <w:t>Appendix A</w:t>
      </w:r>
      <w:r w:rsidRPr="586503E9">
        <w:rPr>
          <w:lang w:eastAsia="en-GB"/>
        </w:rPr>
        <w:t xml:space="preserve"> for more detail. </w:t>
      </w:r>
    </w:p>
    <w:p w14:paraId="526A260E" w14:textId="5D12F666" w:rsidR="008803EF" w:rsidRDefault="001747FB" w:rsidP="008803EF">
      <w:pPr>
        <w:spacing w:before="120" w:after="120"/>
        <w:rPr>
          <w:lang w:eastAsia="en-GB"/>
        </w:rPr>
      </w:pPr>
      <w:r>
        <w:rPr>
          <w:lang w:val="en-NZ" w:eastAsia="en-GB"/>
        </w:rPr>
        <w:t>Detecting f</w:t>
      </w:r>
      <w:r w:rsidR="00601DFC">
        <w:rPr>
          <w:lang w:val="en-NZ" w:eastAsia="en-GB"/>
        </w:rPr>
        <w:t xml:space="preserve">ailsafe reports identify potential incidents which can be verified </w:t>
      </w:r>
      <w:r w:rsidR="002E5E61">
        <w:rPr>
          <w:lang w:val="en-NZ" w:eastAsia="en-GB"/>
        </w:rPr>
        <w:t>upon</w:t>
      </w:r>
      <w:r w:rsidR="0005300F">
        <w:rPr>
          <w:lang w:val="en-NZ" w:eastAsia="en-GB"/>
        </w:rPr>
        <w:t xml:space="preserve"> </w:t>
      </w:r>
      <w:r w:rsidR="002E5E61">
        <w:rPr>
          <w:lang w:val="en-NZ" w:eastAsia="en-GB"/>
        </w:rPr>
        <w:t xml:space="preserve">investigation. Many </w:t>
      </w:r>
      <w:r w:rsidR="004120C8">
        <w:rPr>
          <w:lang w:val="en-NZ" w:eastAsia="en-GB"/>
        </w:rPr>
        <w:t>cases</w:t>
      </w:r>
      <w:r w:rsidR="002E5E61">
        <w:rPr>
          <w:lang w:val="en-NZ" w:eastAsia="en-GB"/>
        </w:rPr>
        <w:t xml:space="preserve"> </w:t>
      </w:r>
      <w:r w:rsidR="00875813">
        <w:rPr>
          <w:lang w:val="en-NZ" w:eastAsia="en-GB"/>
        </w:rPr>
        <w:t>are identified as</w:t>
      </w:r>
      <w:r w:rsidR="002E5E61">
        <w:rPr>
          <w:lang w:val="en-NZ" w:eastAsia="en-GB"/>
        </w:rPr>
        <w:t xml:space="preserve"> a data </w:t>
      </w:r>
      <w:r w:rsidR="00D66EA0">
        <w:rPr>
          <w:lang w:val="en-NZ" w:eastAsia="en-GB"/>
        </w:rPr>
        <w:t>quality</w:t>
      </w:r>
      <w:r w:rsidR="002E5E61">
        <w:rPr>
          <w:lang w:val="en-NZ" w:eastAsia="en-GB"/>
        </w:rPr>
        <w:t xml:space="preserve"> error</w:t>
      </w:r>
      <w:r w:rsidR="00875813">
        <w:rPr>
          <w:lang w:val="en-NZ" w:eastAsia="en-GB"/>
        </w:rPr>
        <w:t xml:space="preserve"> and</w:t>
      </w:r>
      <w:r w:rsidR="00D433E4">
        <w:rPr>
          <w:lang w:val="en-NZ" w:eastAsia="en-GB"/>
        </w:rPr>
        <w:t xml:space="preserve"> </w:t>
      </w:r>
      <w:r w:rsidR="002E5E61">
        <w:rPr>
          <w:lang w:val="en-NZ" w:eastAsia="en-GB"/>
        </w:rPr>
        <w:t xml:space="preserve">when corrected </w:t>
      </w:r>
      <w:r w:rsidR="00B43BC5">
        <w:rPr>
          <w:lang w:val="en-NZ" w:eastAsia="en-GB"/>
        </w:rPr>
        <w:t>will</w:t>
      </w:r>
      <w:r w:rsidR="002E5E61">
        <w:rPr>
          <w:lang w:val="en-NZ" w:eastAsia="en-GB"/>
        </w:rPr>
        <w:t xml:space="preserve"> be removed from the </w:t>
      </w:r>
      <w:r w:rsidR="00875813">
        <w:rPr>
          <w:lang w:val="en-NZ" w:eastAsia="en-GB"/>
        </w:rPr>
        <w:t xml:space="preserve">detecting failsafe </w:t>
      </w:r>
      <w:r w:rsidR="002E5E61">
        <w:rPr>
          <w:lang w:val="en-NZ" w:eastAsia="en-GB"/>
        </w:rPr>
        <w:t xml:space="preserve">report. </w:t>
      </w:r>
      <w:r w:rsidR="00921F40">
        <w:rPr>
          <w:lang w:eastAsia="en-GB"/>
        </w:rPr>
        <w:t xml:space="preserve">Some </w:t>
      </w:r>
      <w:r w:rsidR="00927D3E">
        <w:rPr>
          <w:lang w:eastAsia="en-GB"/>
        </w:rPr>
        <w:t xml:space="preserve">detecting </w:t>
      </w:r>
      <w:r w:rsidR="003501DB">
        <w:rPr>
          <w:lang w:eastAsia="en-GB"/>
        </w:rPr>
        <w:t xml:space="preserve">failsafe </w:t>
      </w:r>
      <w:r w:rsidR="00921F40">
        <w:rPr>
          <w:lang w:eastAsia="en-GB"/>
        </w:rPr>
        <w:t xml:space="preserve">cases may </w:t>
      </w:r>
      <w:r w:rsidR="003501DB">
        <w:rPr>
          <w:lang w:eastAsia="en-GB"/>
        </w:rPr>
        <w:t xml:space="preserve">identify </w:t>
      </w:r>
      <w:r w:rsidR="00B16939">
        <w:rPr>
          <w:lang w:eastAsia="en-GB"/>
        </w:rPr>
        <w:t>both</w:t>
      </w:r>
      <w:r w:rsidR="008803EF">
        <w:rPr>
          <w:lang w:eastAsia="en-GB"/>
        </w:rPr>
        <w:t xml:space="preserve"> a</w:t>
      </w:r>
      <w:r w:rsidR="00B16939">
        <w:rPr>
          <w:lang w:eastAsia="en-GB"/>
        </w:rPr>
        <w:t xml:space="preserve"> verified </w:t>
      </w:r>
      <w:r w:rsidR="008803EF">
        <w:rPr>
          <w:lang w:eastAsia="en-GB"/>
        </w:rPr>
        <w:t>incident and data entry error</w:t>
      </w:r>
      <w:r w:rsidR="003501DB">
        <w:rPr>
          <w:lang w:eastAsia="en-GB"/>
        </w:rPr>
        <w:t xml:space="preserve"> has occurred</w:t>
      </w:r>
      <w:r w:rsidR="008803EF">
        <w:rPr>
          <w:lang w:eastAsia="en-GB"/>
        </w:rPr>
        <w:t xml:space="preserve">. Therefore, </w:t>
      </w:r>
      <w:r w:rsidR="00B16939">
        <w:rPr>
          <w:lang w:eastAsia="en-GB"/>
        </w:rPr>
        <w:t xml:space="preserve">it is important that </w:t>
      </w:r>
      <w:r w:rsidR="008803EF">
        <w:rPr>
          <w:lang w:eastAsia="en-GB"/>
        </w:rPr>
        <w:t xml:space="preserve">each individual case </w:t>
      </w:r>
      <w:r w:rsidR="00315E05">
        <w:rPr>
          <w:lang w:eastAsia="en-GB"/>
        </w:rPr>
        <w:t>is</w:t>
      </w:r>
      <w:r w:rsidR="008803EF">
        <w:rPr>
          <w:lang w:eastAsia="en-GB"/>
        </w:rPr>
        <w:t xml:space="preserve"> </w:t>
      </w:r>
      <w:r w:rsidR="00851C8E">
        <w:rPr>
          <w:lang w:eastAsia="en-GB"/>
        </w:rPr>
        <w:t>verified,</w:t>
      </w:r>
      <w:r w:rsidR="008803EF">
        <w:rPr>
          <w:lang w:eastAsia="en-GB"/>
        </w:rPr>
        <w:t xml:space="preserve"> and the appropriate </w:t>
      </w:r>
      <w:r w:rsidR="00315E05">
        <w:rPr>
          <w:lang w:eastAsia="en-GB"/>
        </w:rPr>
        <w:t xml:space="preserve">actions </w:t>
      </w:r>
      <w:r w:rsidR="00230CDA">
        <w:rPr>
          <w:lang w:eastAsia="en-GB"/>
        </w:rPr>
        <w:t xml:space="preserve">outlined in the below table are </w:t>
      </w:r>
      <w:r w:rsidR="00315E05">
        <w:rPr>
          <w:lang w:eastAsia="en-GB"/>
        </w:rPr>
        <w:t>followed</w:t>
      </w:r>
      <w:r w:rsidR="008803EF">
        <w:rPr>
          <w:lang w:eastAsia="en-GB"/>
        </w:rPr>
        <w:t xml:space="preserve">. </w:t>
      </w:r>
    </w:p>
    <w:p w14:paraId="1A1F293F" w14:textId="40C92DC9" w:rsidR="009F545B" w:rsidRDefault="45A0D40E" w:rsidP="0E671E48">
      <w:pPr>
        <w:spacing w:before="120" w:after="120"/>
        <w:rPr>
          <w:rFonts w:eastAsia="Calibri"/>
        </w:rPr>
      </w:pPr>
      <w:r w:rsidRPr="0E671E48">
        <w:rPr>
          <w:lang w:eastAsia="en-GB"/>
        </w:rPr>
        <w:t>A</w:t>
      </w:r>
      <w:r w:rsidR="1A960903" w:rsidRPr="0E671E48">
        <w:rPr>
          <w:lang w:eastAsia="en-GB"/>
        </w:rPr>
        <w:t>n ‘off</w:t>
      </w:r>
      <w:r w:rsidR="4BBF4528" w:rsidRPr="0E671E48">
        <w:rPr>
          <w:lang w:eastAsia="en-GB"/>
        </w:rPr>
        <w:t xml:space="preserve"> label dose’ may be administered </w:t>
      </w:r>
      <w:r w:rsidR="0AF1A8BC" w:rsidRPr="0E671E48">
        <w:rPr>
          <w:lang w:eastAsia="en-GB"/>
        </w:rPr>
        <w:t>when authorised by</w:t>
      </w:r>
      <w:r w:rsidR="4BBF4528" w:rsidRPr="0E671E48">
        <w:rPr>
          <w:lang w:eastAsia="en-GB"/>
        </w:rPr>
        <w:t xml:space="preserve"> prescription, </w:t>
      </w:r>
      <w:r w:rsidR="5BC5ECA0" w:rsidRPr="0E671E48">
        <w:rPr>
          <w:lang w:eastAsia="en-GB"/>
        </w:rPr>
        <w:t xml:space="preserve">the failsafe may </w:t>
      </w:r>
      <w:r w:rsidR="003501DB">
        <w:rPr>
          <w:lang w:eastAsia="en-GB"/>
        </w:rPr>
        <w:t>detect</w:t>
      </w:r>
      <w:r w:rsidR="003501DB" w:rsidRPr="0E671E48">
        <w:rPr>
          <w:lang w:eastAsia="en-GB"/>
        </w:rPr>
        <w:t xml:space="preserve"> </w:t>
      </w:r>
      <w:r w:rsidR="4BBF4528" w:rsidRPr="0E671E48">
        <w:rPr>
          <w:lang w:eastAsia="en-GB"/>
        </w:rPr>
        <w:t xml:space="preserve">an unverified incident </w:t>
      </w:r>
      <w:r w:rsidR="23165686" w:rsidRPr="0E671E48">
        <w:rPr>
          <w:lang w:eastAsia="en-GB"/>
        </w:rPr>
        <w:t>where</w:t>
      </w:r>
      <w:r w:rsidR="4BBF4528" w:rsidRPr="0E671E48">
        <w:rPr>
          <w:lang w:eastAsia="en-GB"/>
        </w:rPr>
        <w:t xml:space="preserve"> </w:t>
      </w:r>
      <w:r w:rsidR="0EBF6A9B" w:rsidRPr="0E671E48">
        <w:rPr>
          <w:lang w:eastAsia="en-GB"/>
        </w:rPr>
        <w:t xml:space="preserve">a </w:t>
      </w:r>
      <w:r w:rsidR="2D472ED0" w:rsidRPr="0E671E48">
        <w:rPr>
          <w:lang w:eastAsia="en-GB"/>
        </w:rPr>
        <w:t>prescription</w:t>
      </w:r>
      <w:r w:rsidR="0EBF6A9B" w:rsidRPr="0E671E48">
        <w:rPr>
          <w:lang w:eastAsia="en-GB"/>
        </w:rPr>
        <w:t xml:space="preserve"> was </w:t>
      </w:r>
      <w:r w:rsidR="2D472ED0" w:rsidRPr="0E671E48">
        <w:rPr>
          <w:lang w:eastAsia="en-GB"/>
        </w:rPr>
        <w:t>provided</w:t>
      </w:r>
      <w:r w:rsidR="7B615AC6" w:rsidRPr="0E671E48">
        <w:rPr>
          <w:lang w:eastAsia="en-GB"/>
        </w:rPr>
        <w:t xml:space="preserve"> but not recorded in CIR</w:t>
      </w:r>
      <w:r w:rsidR="00340EEF">
        <w:rPr>
          <w:lang w:eastAsia="en-GB"/>
        </w:rPr>
        <w:t>, if so then</w:t>
      </w:r>
      <w:r w:rsidR="003501DB">
        <w:rPr>
          <w:lang w:eastAsia="en-GB"/>
        </w:rPr>
        <w:t xml:space="preserve"> it</w:t>
      </w:r>
      <w:r w:rsidR="006806B1">
        <w:rPr>
          <w:lang w:eastAsia="en-GB"/>
        </w:rPr>
        <w:t xml:space="preserve"> i</w:t>
      </w:r>
      <w:r w:rsidR="003501DB">
        <w:rPr>
          <w:lang w:eastAsia="en-GB"/>
        </w:rPr>
        <w:t xml:space="preserve">s </w:t>
      </w:r>
      <w:r w:rsidR="00340EEF">
        <w:rPr>
          <w:lang w:eastAsia="en-GB"/>
        </w:rPr>
        <w:t>not an</w:t>
      </w:r>
      <w:r w:rsidR="003501DB">
        <w:rPr>
          <w:lang w:eastAsia="en-GB"/>
        </w:rPr>
        <w:t xml:space="preserve"> incident</w:t>
      </w:r>
      <w:r w:rsidR="3976DCD2" w:rsidRPr="0E671E48">
        <w:rPr>
          <w:lang w:eastAsia="en-GB"/>
        </w:rPr>
        <w:t>.</w:t>
      </w:r>
      <w:r w:rsidR="00B36A08">
        <w:br w:type="page"/>
      </w:r>
    </w:p>
    <w:p w14:paraId="42891E41" w14:textId="62851A38" w:rsidR="00F03B9F" w:rsidRPr="00132768" w:rsidRDefault="00927D3E" w:rsidP="001C6772">
      <w:pPr>
        <w:spacing w:before="120" w:after="120"/>
      </w:pPr>
      <w:r>
        <w:lastRenderedPageBreak/>
        <w:t>Districts</w:t>
      </w:r>
      <w:r w:rsidR="00114C15" w:rsidRPr="00132768">
        <w:t xml:space="preserve"> </w:t>
      </w:r>
      <w:r w:rsidR="00F03B9F" w:rsidRPr="00132768">
        <w:t xml:space="preserve">provide their Regional Account Manager </w:t>
      </w:r>
      <w:r w:rsidR="00010D3F">
        <w:t xml:space="preserve">(RAM) </w:t>
      </w:r>
      <w:r w:rsidR="00F03B9F" w:rsidRPr="00132768">
        <w:t xml:space="preserve">with a nominated </w:t>
      </w:r>
      <w:r>
        <w:t>District</w:t>
      </w:r>
      <w:r w:rsidR="00114C15">
        <w:t xml:space="preserve"> </w:t>
      </w:r>
      <w:r w:rsidR="00F03B9F" w:rsidRPr="00132768">
        <w:t xml:space="preserve">contact who will </w:t>
      </w:r>
      <w:r w:rsidR="00764E34" w:rsidRPr="00132768">
        <w:t>be responsible</w:t>
      </w:r>
      <w:r w:rsidR="00E9323E" w:rsidRPr="00132768">
        <w:t xml:space="preserve"> for the </w:t>
      </w:r>
      <w:r w:rsidR="00A04013" w:rsidRPr="00132768">
        <w:t>failsafe verification process.</w:t>
      </w:r>
    </w:p>
    <w:p w14:paraId="32E6E989" w14:textId="4F872571" w:rsidR="009F545B" w:rsidRPr="00132768" w:rsidRDefault="009F545B" w:rsidP="001C6772">
      <w:pPr>
        <w:spacing w:before="120" w:after="120"/>
      </w:pPr>
      <w:r w:rsidRPr="00132768">
        <w:t xml:space="preserve">Failsafe reports are shared with </w:t>
      </w:r>
      <w:r w:rsidR="00927D3E">
        <w:t>District</w:t>
      </w:r>
      <w:r w:rsidR="00114C15" w:rsidRPr="00132768">
        <w:t xml:space="preserve"> </w:t>
      </w:r>
      <w:r w:rsidRPr="00132768">
        <w:t xml:space="preserve">via the </w:t>
      </w:r>
      <w:r w:rsidR="00457B80" w:rsidRPr="00132768">
        <w:t>“</w:t>
      </w:r>
      <w:r w:rsidR="000A1BB1">
        <w:t xml:space="preserve">COVID </w:t>
      </w:r>
      <w:r w:rsidRPr="00132768">
        <w:t xml:space="preserve">Household </w:t>
      </w:r>
      <w:r w:rsidR="00457B80" w:rsidRPr="00132768">
        <w:t>C</w:t>
      </w:r>
      <w:r w:rsidRPr="00132768">
        <w:t>ontact</w:t>
      </w:r>
      <w:r w:rsidR="000A1BB1">
        <w:t xml:space="preserve"> &amp; Cohort Information</w:t>
      </w:r>
      <w:r w:rsidR="00457B80" w:rsidRPr="00132768">
        <w:t>”</w:t>
      </w:r>
      <w:r w:rsidRPr="00132768">
        <w:t xml:space="preserve"> </w:t>
      </w:r>
      <w:r w:rsidR="000A1BB1">
        <w:t xml:space="preserve">(CHCCI) </w:t>
      </w:r>
      <w:r w:rsidR="00457B80" w:rsidRPr="00132768">
        <w:t xml:space="preserve">Microsoft </w:t>
      </w:r>
      <w:r w:rsidRPr="00132768">
        <w:t>Teams channel</w:t>
      </w:r>
      <w:r w:rsidR="00F03B9F" w:rsidRPr="00132768">
        <w:t>.</w:t>
      </w:r>
      <w:r w:rsidRPr="00132768">
        <w:t xml:space="preserve"> </w:t>
      </w:r>
      <w:r w:rsidR="00F03B9F" w:rsidRPr="00132768">
        <w:t>The nominated</w:t>
      </w:r>
      <w:r w:rsidR="00B03E1A" w:rsidRPr="00132768">
        <w:t xml:space="preserve"> DHB contact will have access to this channel</w:t>
      </w:r>
      <w:r w:rsidR="00010D3F" w:rsidRPr="00010D3F">
        <w:t xml:space="preserve"> </w:t>
      </w:r>
      <w:r w:rsidR="00010D3F">
        <w:t xml:space="preserve">and the relevant </w:t>
      </w:r>
      <w:r w:rsidR="00927D3E">
        <w:t>District</w:t>
      </w:r>
      <w:r w:rsidR="00114C15">
        <w:t xml:space="preserve"> </w:t>
      </w:r>
      <w:r w:rsidR="00010D3F">
        <w:t>folder</w:t>
      </w:r>
      <w:r w:rsidR="0039749E" w:rsidRPr="00132768">
        <w:t>.</w:t>
      </w:r>
      <w:r w:rsidR="00F03B9F" w:rsidRPr="00132768">
        <w:t xml:space="preserve"> </w:t>
      </w:r>
    </w:p>
    <w:p w14:paraId="0A4000AB" w14:textId="5816955D" w:rsidR="00EC2274" w:rsidRPr="00132768" w:rsidRDefault="00EC2274" w:rsidP="00EC2274">
      <w:pPr>
        <w:pStyle w:val="ListParagraph"/>
        <w:numPr>
          <w:ilvl w:val="0"/>
          <w:numId w:val="14"/>
        </w:numPr>
        <w:spacing w:before="120" w:after="120"/>
      </w:pPr>
      <w:r w:rsidRPr="00132768">
        <w:t xml:space="preserve">Weekly </w:t>
      </w:r>
      <w:r w:rsidR="00B36A08">
        <w:t>detecting</w:t>
      </w:r>
      <w:r w:rsidR="000A1BB1">
        <w:t xml:space="preserve"> </w:t>
      </w:r>
      <w:r w:rsidRPr="00132768">
        <w:t>failsafe reports</w:t>
      </w:r>
      <w:r w:rsidR="00DB0F18" w:rsidRPr="00132768">
        <w:t xml:space="preserve"> (with NHIs)</w:t>
      </w:r>
      <w:r w:rsidRPr="00132768">
        <w:t xml:space="preserve"> are generated by </w:t>
      </w:r>
      <w:r w:rsidR="006806B1">
        <w:t xml:space="preserve">Te </w:t>
      </w:r>
      <w:proofErr w:type="spellStart"/>
      <w:r w:rsidR="006806B1">
        <w:t>Whatu</w:t>
      </w:r>
      <w:proofErr w:type="spellEnd"/>
      <w:r w:rsidR="006806B1">
        <w:t xml:space="preserve"> Ora - </w:t>
      </w:r>
      <w:r w:rsidR="00E86CDE">
        <w:t xml:space="preserve">Health New Zealand </w:t>
      </w:r>
      <w:r w:rsidR="000A1BB1">
        <w:t>and loaded into the relevant folder in the CHCCI Microsoft Teams channel</w:t>
      </w:r>
      <w:r w:rsidRPr="00132768">
        <w:t xml:space="preserve">. It is the responsibility of the </w:t>
      </w:r>
      <w:r w:rsidR="00927D3E">
        <w:t>District</w:t>
      </w:r>
      <w:r w:rsidR="00114C15" w:rsidRPr="00132768">
        <w:t xml:space="preserve"> </w:t>
      </w:r>
      <w:r w:rsidRPr="00132768">
        <w:t xml:space="preserve">to ensure the providers verify the accuracy of the failsafe report. </w:t>
      </w:r>
    </w:p>
    <w:p w14:paraId="755B4408" w14:textId="6A6B01EE" w:rsidR="0057545E" w:rsidRDefault="0057545E" w:rsidP="001C6772">
      <w:pPr>
        <w:pStyle w:val="ListParagraph"/>
        <w:numPr>
          <w:ilvl w:val="0"/>
          <w:numId w:val="14"/>
        </w:numPr>
        <w:spacing w:before="120" w:after="120"/>
      </w:pPr>
      <w:r>
        <w:t>There are two files</w:t>
      </w:r>
      <w:r w:rsidR="00065E18">
        <w:t>:</w:t>
      </w:r>
    </w:p>
    <w:p w14:paraId="6862D1D2" w14:textId="02608429" w:rsidR="00065E18" w:rsidRDefault="00065E18" w:rsidP="0057545E">
      <w:pPr>
        <w:pStyle w:val="ListParagraph"/>
        <w:numPr>
          <w:ilvl w:val="1"/>
          <w:numId w:val="14"/>
        </w:numPr>
        <w:spacing w:before="120" w:after="120"/>
      </w:pPr>
      <w:r>
        <w:t>A “Master” excel file</w:t>
      </w:r>
      <w:r w:rsidR="00E00B52">
        <w:t>. This</w:t>
      </w:r>
      <w:r>
        <w:t xml:space="preserve"> will be updated weekly to add new case</w:t>
      </w:r>
      <w:r w:rsidR="00E00B52">
        <w:t>s</w:t>
      </w:r>
      <w:r w:rsidR="00477994">
        <w:t xml:space="preserve">. </w:t>
      </w:r>
    </w:p>
    <w:p w14:paraId="3118D2B4" w14:textId="350C541B" w:rsidR="007E5D14" w:rsidRDefault="000273E1" w:rsidP="000125FD">
      <w:pPr>
        <w:pStyle w:val="ListParagraph"/>
        <w:numPr>
          <w:ilvl w:val="1"/>
          <w:numId w:val="14"/>
        </w:numPr>
        <w:spacing w:before="120" w:after="120"/>
      </w:pPr>
      <w:r>
        <w:t xml:space="preserve">A new data quality excel file will be </w:t>
      </w:r>
      <w:r w:rsidR="000125FD">
        <w:t>uploaded each week.</w:t>
      </w:r>
    </w:p>
    <w:p w14:paraId="657526AF" w14:textId="29AF065C" w:rsidR="0017066C" w:rsidRPr="00132768" w:rsidRDefault="00927D3E" w:rsidP="005A312B">
      <w:pPr>
        <w:pStyle w:val="ListParagraph"/>
        <w:numPr>
          <w:ilvl w:val="0"/>
          <w:numId w:val="14"/>
        </w:numPr>
        <w:spacing w:before="120" w:after="120"/>
      </w:pPr>
      <w:r>
        <w:t>The District</w:t>
      </w:r>
      <w:r w:rsidR="005E38A2" w:rsidRPr="00132768">
        <w:t xml:space="preserve"> </w:t>
      </w:r>
      <w:r w:rsidR="0050426A" w:rsidRPr="00132768">
        <w:t xml:space="preserve">should </w:t>
      </w:r>
      <w:r w:rsidR="005E38A2">
        <w:t xml:space="preserve">check </w:t>
      </w:r>
      <w:r w:rsidR="0050426A" w:rsidRPr="00132768">
        <w:t>and verify</w:t>
      </w:r>
      <w:r w:rsidR="009F545B" w:rsidRPr="00132768">
        <w:t xml:space="preserve"> if the cases on the report are incidents or data errors </w:t>
      </w:r>
      <w:r w:rsidR="00A10149">
        <w:t xml:space="preserve">within </w:t>
      </w:r>
      <w:r w:rsidR="0070551B">
        <w:t>5 working days</w:t>
      </w:r>
      <w:r w:rsidR="009D293F">
        <w:t xml:space="preserve"> </w:t>
      </w:r>
      <w:r w:rsidR="00D66DA3" w:rsidRPr="00132768">
        <w:t xml:space="preserve">with the support of the </w:t>
      </w:r>
      <w:r w:rsidR="006F558F" w:rsidRPr="006F558F">
        <w:rPr>
          <w:lang w:val="en-GB"/>
        </w:rPr>
        <w:t xml:space="preserve">Te </w:t>
      </w:r>
      <w:proofErr w:type="spellStart"/>
      <w:r w:rsidR="006F558F" w:rsidRPr="006F558F">
        <w:rPr>
          <w:lang w:val="en-GB"/>
        </w:rPr>
        <w:t>Whatu</w:t>
      </w:r>
      <w:proofErr w:type="spellEnd"/>
      <w:r w:rsidR="006F558F" w:rsidRPr="006F558F">
        <w:rPr>
          <w:lang w:val="en-GB"/>
        </w:rPr>
        <w:t xml:space="preserve"> Ora - Health New Zealand</w:t>
      </w:r>
      <w:r w:rsidR="006F558F" w:rsidRPr="006F558F">
        <w:rPr>
          <w:lang w:val="en-GB"/>
        </w:rPr>
        <w:t xml:space="preserve"> </w:t>
      </w:r>
      <w:r w:rsidR="00D66DA3" w:rsidRPr="00132768">
        <w:t>CIR helpdesk or Quality Team</w:t>
      </w:r>
      <w:r w:rsidR="001E7F88" w:rsidRPr="00132768">
        <w:t>.</w:t>
      </w:r>
    </w:p>
    <w:p w14:paraId="365B619D" w14:textId="0D7C7263" w:rsidR="00C54381" w:rsidRPr="00132768" w:rsidRDefault="302006C3" w:rsidP="00C54381">
      <w:pPr>
        <w:pStyle w:val="ListParagraph"/>
        <w:numPr>
          <w:ilvl w:val="0"/>
          <w:numId w:val="14"/>
        </w:numPr>
        <w:spacing w:before="120" w:after="120"/>
      </w:pPr>
      <w:r>
        <w:t xml:space="preserve">The nominated </w:t>
      </w:r>
      <w:r w:rsidR="00927D3E">
        <w:t>District</w:t>
      </w:r>
      <w:r w:rsidR="005E38A2">
        <w:t xml:space="preserve"> </w:t>
      </w:r>
      <w:r>
        <w:t>contact is responsible</w:t>
      </w:r>
      <w:r w:rsidR="4F3B193F">
        <w:t xml:space="preserve"> for ensuring that</w:t>
      </w:r>
      <w:r>
        <w:t xml:space="preserve"> the</w:t>
      </w:r>
      <w:r w:rsidR="38F64EAB">
        <w:t xml:space="preserve"> </w:t>
      </w:r>
      <w:r w:rsidR="6C771CCE">
        <w:t>relevant</w:t>
      </w:r>
      <w:r w:rsidR="03E98BC3">
        <w:t xml:space="preserve"> actions </w:t>
      </w:r>
      <w:r w:rsidR="6C771CCE">
        <w:t>are completed. Th</w:t>
      </w:r>
      <w:r w:rsidR="4F3B193F">
        <w:t>ese</w:t>
      </w:r>
      <w:r w:rsidR="6C771CCE">
        <w:t xml:space="preserve"> </w:t>
      </w:r>
      <w:r w:rsidR="4F3B193F">
        <w:t>are</w:t>
      </w:r>
      <w:r w:rsidR="03E98BC3">
        <w:t xml:space="preserve"> outlined</w:t>
      </w:r>
      <w:r w:rsidR="4F3B193F">
        <w:t xml:space="preserve"> below and detailed</w:t>
      </w:r>
      <w:r w:rsidR="03E98BC3">
        <w:t xml:space="preserve"> in the </w:t>
      </w:r>
      <w:r w:rsidR="00B36A08">
        <w:t>detecting</w:t>
      </w:r>
      <w:r w:rsidR="4F3B193F">
        <w:t xml:space="preserve"> f</w:t>
      </w:r>
      <w:r w:rsidR="03E98BC3">
        <w:t xml:space="preserve">ailsafe </w:t>
      </w:r>
      <w:r w:rsidR="4F3B193F">
        <w:t>c</w:t>
      </w:r>
      <w:r w:rsidR="03E98BC3">
        <w:t>ategories section.</w:t>
      </w:r>
    </w:p>
    <w:p w14:paraId="28DD1280" w14:textId="77777777" w:rsidR="00C54381" w:rsidRPr="00132768" w:rsidRDefault="00A03136" w:rsidP="00C54381">
      <w:pPr>
        <w:pStyle w:val="ListParagraph"/>
        <w:numPr>
          <w:ilvl w:val="0"/>
          <w:numId w:val="0"/>
        </w:numPr>
        <w:spacing w:before="120" w:after="120"/>
        <w:ind w:left="720"/>
      </w:pPr>
      <w:r w:rsidRPr="00132768">
        <w:t>Summary</w:t>
      </w:r>
      <w:r w:rsidR="00C54381" w:rsidRPr="00132768">
        <w:t xml:space="preserve"> of actions</w:t>
      </w:r>
      <w:r w:rsidRPr="00132768">
        <w:t>:</w:t>
      </w:r>
    </w:p>
    <w:p w14:paraId="43B71DD8" w14:textId="77777777" w:rsidR="00347A8D" w:rsidRPr="00132768" w:rsidRDefault="00347A8D" w:rsidP="00347A8D">
      <w:pPr>
        <w:pStyle w:val="ListParagraph"/>
        <w:numPr>
          <w:ilvl w:val="1"/>
          <w:numId w:val="14"/>
        </w:numPr>
        <w:spacing w:before="120" w:after="120"/>
      </w:pPr>
      <w:r w:rsidRPr="00132768">
        <w:t xml:space="preserve">If the report is a verified incident </w:t>
      </w:r>
      <w:r w:rsidRPr="00132768">
        <w:rPr>
          <w:b/>
          <w:bCs/>
        </w:rPr>
        <w:t>without prescription</w:t>
      </w:r>
      <w:r w:rsidRPr="00132768">
        <w:t>:</w:t>
      </w:r>
    </w:p>
    <w:p w14:paraId="6300D2D7" w14:textId="61423536" w:rsidR="00347A8D" w:rsidRDefault="00347A8D" w:rsidP="00347A8D">
      <w:pPr>
        <w:pStyle w:val="ListParagraph"/>
        <w:numPr>
          <w:ilvl w:val="0"/>
          <w:numId w:val="0"/>
        </w:numPr>
        <w:spacing w:before="120" w:after="120"/>
        <w:ind w:left="1440"/>
      </w:pPr>
      <w:r w:rsidRPr="00132768">
        <w:t xml:space="preserve">Notify the Ministry of any incidents (using the NIP Adverse Event Notification </w:t>
      </w:r>
      <w:r>
        <w:t>f</w:t>
      </w:r>
      <w:r w:rsidRPr="00132768">
        <w:t xml:space="preserve">orm found in the </w:t>
      </w:r>
      <w:hyperlink r:id="rId13" w:history="1">
        <w:r w:rsidRPr="00132768">
          <w:rPr>
            <w:rStyle w:val="Hyperlink"/>
          </w:rPr>
          <w:t>COVID-19 Vaccine Operating Guidelines</w:t>
        </w:r>
      </w:hyperlink>
      <w:r w:rsidRPr="00132768">
        <w:t xml:space="preserve"> Appendix I). The incident should be investigated through the</w:t>
      </w:r>
      <w:r w:rsidR="005E38A2">
        <w:t xml:space="preserve"> </w:t>
      </w:r>
      <w:r w:rsidR="00927D3E">
        <w:t>District’s</w:t>
      </w:r>
      <w:r w:rsidR="005E38A2" w:rsidRPr="00132768">
        <w:t xml:space="preserve"> </w:t>
      </w:r>
      <w:r w:rsidRPr="00132768">
        <w:t>usual incident channels and processes.</w:t>
      </w:r>
      <w:r>
        <w:t xml:space="preserve"> </w:t>
      </w:r>
    </w:p>
    <w:p w14:paraId="31A5671C" w14:textId="17FD7217" w:rsidR="00347A8D" w:rsidRPr="00010D3F" w:rsidRDefault="00347A8D" w:rsidP="00347A8D">
      <w:pPr>
        <w:pStyle w:val="ListParagraph"/>
        <w:numPr>
          <w:ilvl w:val="0"/>
          <w:numId w:val="0"/>
        </w:numPr>
        <w:spacing w:before="120" w:after="120"/>
        <w:ind w:left="1440"/>
      </w:pPr>
      <w:r w:rsidRPr="00132768">
        <w:rPr>
          <w:b/>
          <w:bCs/>
        </w:rPr>
        <w:t>Note:</w:t>
      </w:r>
      <w:r w:rsidRPr="00132768">
        <w:t xml:space="preserve"> </w:t>
      </w:r>
      <w:r w:rsidR="00927D3E">
        <w:t>Districts</w:t>
      </w:r>
      <w:r w:rsidR="005E38A2" w:rsidRPr="00132768">
        <w:t xml:space="preserve"> </w:t>
      </w:r>
      <w:r w:rsidRPr="00132768">
        <w:t xml:space="preserve">should share with the providers the relevant documents and incident toolkits on the </w:t>
      </w:r>
      <w:hyperlink r:id="rId14" w:history="1">
        <w:r w:rsidRPr="00132768">
          <w:rPr>
            <w:rStyle w:val="Hyperlink"/>
          </w:rPr>
          <w:t>Connex ‘Mahi Tahi’ SharePoint</w:t>
        </w:r>
      </w:hyperlink>
      <w:r w:rsidRPr="00132768">
        <w:t>. Currently, available guidance includes incorrect vaccination, missed vaccination and underage vaccination documents. Further documents will be uploaded as they are available.</w:t>
      </w:r>
    </w:p>
    <w:p w14:paraId="6C85082E" w14:textId="7B0206AA" w:rsidR="005543E7" w:rsidRPr="00060090" w:rsidRDefault="00010D3F" w:rsidP="00060090">
      <w:pPr>
        <w:pStyle w:val="ListParagraph"/>
        <w:numPr>
          <w:ilvl w:val="1"/>
          <w:numId w:val="14"/>
        </w:numPr>
        <w:spacing w:before="120" w:after="120"/>
        <w:ind w:left="1434" w:hanging="357"/>
        <w:rPr>
          <w:rStyle w:val="Hyperlink"/>
          <w:color w:val="auto"/>
          <w:u w:val="none"/>
        </w:rPr>
      </w:pPr>
      <w:r>
        <w:t>For</w:t>
      </w:r>
      <w:r w:rsidR="00C54381" w:rsidRPr="00132768">
        <w:t xml:space="preserve"> </w:t>
      </w:r>
      <w:r w:rsidR="00C54381" w:rsidRPr="005F41D5">
        <w:rPr>
          <w:b/>
          <w:bCs/>
        </w:rPr>
        <w:t xml:space="preserve">data quality </w:t>
      </w:r>
      <w:r w:rsidR="00132768" w:rsidRPr="005F41D5">
        <w:rPr>
          <w:b/>
          <w:bCs/>
        </w:rPr>
        <w:t>error</w:t>
      </w:r>
      <w:r>
        <w:rPr>
          <w:b/>
          <w:bCs/>
        </w:rPr>
        <w:t>s</w:t>
      </w:r>
      <w:r w:rsidR="00132768" w:rsidRPr="00132768">
        <w:t>,</w:t>
      </w:r>
      <w:r w:rsidR="00C54381" w:rsidRPr="00132768">
        <w:t xml:space="preserve"> please </w:t>
      </w:r>
      <w:r>
        <w:t xml:space="preserve">review and provide relevant information to </w:t>
      </w:r>
      <w:hyperlink r:id="rId15" w:history="1">
        <w:r w:rsidR="00C54381" w:rsidRPr="00132768">
          <w:rPr>
            <w:rStyle w:val="Hyperlink"/>
          </w:rPr>
          <w:t>help@c-19imms.min.health.nz</w:t>
        </w:r>
      </w:hyperlink>
      <w:r>
        <w:rPr>
          <w:rStyle w:val="Hyperlink"/>
        </w:rPr>
        <w:t xml:space="preserve"> </w:t>
      </w:r>
      <w:r w:rsidR="00B36A08" w:rsidRPr="00B36A08">
        <w:rPr>
          <w:rStyle w:val="Hyperlink"/>
          <w:color w:val="auto"/>
          <w:u w:val="none"/>
        </w:rPr>
        <w:t>for</w:t>
      </w:r>
      <w:r w:rsidRPr="00B36A08">
        <w:rPr>
          <w:rStyle w:val="Hyperlink"/>
          <w:color w:val="auto"/>
          <w:u w:val="none"/>
        </w:rPr>
        <w:t xml:space="preserve"> the correction to be made, </w:t>
      </w:r>
      <w:r w:rsidR="002176CA">
        <w:rPr>
          <w:rStyle w:val="Hyperlink"/>
          <w:color w:val="auto"/>
          <w:u w:val="none"/>
        </w:rPr>
        <w:t>or</w:t>
      </w:r>
      <w:r w:rsidRPr="00B36A08">
        <w:rPr>
          <w:rStyle w:val="Hyperlink"/>
          <w:color w:val="auto"/>
          <w:u w:val="none"/>
        </w:rPr>
        <w:t xml:space="preserve"> correct (if able).</w:t>
      </w:r>
      <w:r w:rsidR="00060090">
        <w:rPr>
          <w:rStyle w:val="Hyperlink"/>
          <w:color w:val="auto"/>
          <w:u w:val="none"/>
        </w:rPr>
        <w:t xml:space="preserve"> </w:t>
      </w:r>
      <w:r w:rsidRPr="00060090">
        <w:rPr>
          <w:rStyle w:val="Hyperlink"/>
          <w:color w:val="auto"/>
          <w:u w:val="none"/>
        </w:rPr>
        <w:t>Please liaise with the relevant staff member at the site to alert them to errors and provide coaching to ensure correct data entry.</w:t>
      </w:r>
    </w:p>
    <w:p w14:paraId="472DBBD7" w14:textId="1308EED5" w:rsidR="00C54381" w:rsidRPr="00132768" w:rsidRDefault="00010D3F" w:rsidP="005543E7">
      <w:pPr>
        <w:pStyle w:val="ListParagraph"/>
        <w:numPr>
          <w:ilvl w:val="0"/>
          <w:numId w:val="0"/>
        </w:numPr>
        <w:spacing w:before="120" w:after="120"/>
        <w:ind w:left="1434"/>
        <w:rPr>
          <w:rStyle w:val="Hyperlink"/>
          <w:color w:val="auto"/>
          <w:u w:val="none"/>
        </w:rPr>
      </w:pPr>
      <w:r w:rsidRPr="00A27D3A">
        <w:rPr>
          <w:lang w:eastAsia="en-NZ"/>
        </w:rPr>
        <w:t xml:space="preserve">For CIR tips and coaching, please </w:t>
      </w:r>
      <w:r>
        <w:rPr>
          <w:lang w:eastAsia="en-NZ"/>
        </w:rPr>
        <w:t xml:space="preserve">encourage teams to </w:t>
      </w:r>
      <w:r w:rsidRPr="00A27D3A">
        <w:rPr>
          <w:lang w:eastAsia="en-NZ"/>
        </w:rPr>
        <w:t xml:space="preserve">take advantage of the CIR drop in sessions where there is coaching available from one of </w:t>
      </w:r>
      <w:r w:rsidR="006F558F" w:rsidRPr="006F558F">
        <w:rPr>
          <w:lang w:val="en-GB" w:eastAsia="en-NZ"/>
        </w:rPr>
        <w:t xml:space="preserve">Te </w:t>
      </w:r>
      <w:proofErr w:type="spellStart"/>
      <w:r w:rsidR="006F558F" w:rsidRPr="006F558F">
        <w:rPr>
          <w:lang w:val="en-GB" w:eastAsia="en-NZ"/>
        </w:rPr>
        <w:t>Whatu</w:t>
      </w:r>
      <w:proofErr w:type="spellEnd"/>
      <w:r w:rsidR="006F558F" w:rsidRPr="006F558F">
        <w:rPr>
          <w:lang w:val="en-GB" w:eastAsia="en-NZ"/>
        </w:rPr>
        <w:t xml:space="preserve"> Ora - Health New Zealand</w:t>
      </w:r>
      <w:r w:rsidRPr="00A27D3A">
        <w:rPr>
          <w:lang w:eastAsia="en-NZ"/>
        </w:rPr>
        <w:t xml:space="preserve"> senior support team members, Mon – Fri 1:00pm – 1:30pm. Use this link to connect: </w:t>
      </w:r>
      <w:hyperlink r:id="rId16" w:history="1">
        <w:r w:rsidRPr="00A27D3A">
          <w:rPr>
            <w:color w:val="002E6E"/>
            <w:u w:val="single"/>
            <w:lang w:eastAsia="en-NZ"/>
          </w:rPr>
          <w:t>Click here to join the meeting</w:t>
        </w:r>
      </w:hyperlink>
    </w:p>
    <w:p w14:paraId="708C5329" w14:textId="77777777" w:rsidR="001C6772" w:rsidRDefault="001C6772" w:rsidP="00EF6464">
      <w:pPr>
        <w:spacing w:before="0" w:after="0" w:line="315" w:lineRule="atLeast"/>
        <w:textAlignment w:val="center"/>
        <w:sectPr w:rsidR="001C6772" w:rsidSect="001C6772">
          <w:pgSz w:w="11906" w:h="16838"/>
          <w:pgMar w:top="1440" w:right="1440" w:bottom="1440" w:left="1440" w:header="708" w:footer="708" w:gutter="0"/>
          <w:cols w:space="708"/>
          <w:docGrid w:linePitch="360"/>
        </w:sectPr>
      </w:pPr>
    </w:p>
    <w:p w14:paraId="3335AC71" w14:textId="6E1A0C4A" w:rsidR="00100E8F" w:rsidRPr="00100E8F" w:rsidRDefault="00B36A08" w:rsidP="001D48F8">
      <w:pPr>
        <w:pStyle w:val="Heading2"/>
        <w:rPr>
          <w:rFonts w:eastAsia="Times New Roman"/>
        </w:rPr>
      </w:pPr>
      <w:bookmarkStart w:id="5" w:name="_Toc110249526"/>
      <w:r>
        <w:rPr>
          <w:rFonts w:eastAsia="Times New Roman"/>
        </w:rPr>
        <w:lastRenderedPageBreak/>
        <w:t>Detecting</w:t>
      </w:r>
      <w:r w:rsidR="0072503F">
        <w:rPr>
          <w:rFonts w:eastAsia="Times New Roman"/>
        </w:rPr>
        <w:t xml:space="preserve"> f</w:t>
      </w:r>
      <w:r w:rsidR="00100E8F" w:rsidRPr="00100E8F">
        <w:rPr>
          <w:rFonts w:eastAsia="Times New Roman"/>
        </w:rPr>
        <w:t>ailsafe</w:t>
      </w:r>
      <w:r w:rsidR="003A354C">
        <w:rPr>
          <w:rFonts w:eastAsia="Times New Roman"/>
        </w:rPr>
        <w:t xml:space="preserve"> </w:t>
      </w:r>
      <w:r w:rsidR="0072503F">
        <w:rPr>
          <w:rFonts w:eastAsia="Times New Roman"/>
        </w:rPr>
        <w:t>c</w:t>
      </w:r>
      <w:r w:rsidR="003A354C">
        <w:rPr>
          <w:rFonts w:eastAsia="Times New Roman"/>
        </w:rPr>
        <w:t>ategories</w:t>
      </w:r>
      <w:bookmarkEnd w:id="5"/>
    </w:p>
    <w:p w14:paraId="2D2542CB" w14:textId="2328D72E" w:rsidR="00100E8F" w:rsidRPr="00EF6464" w:rsidRDefault="00401DE6" w:rsidP="00B3212D">
      <w:pPr>
        <w:spacing w:before="120" w:after="120"/>
      </w:pPr>
      <w:r w:rsidRPr="00EF6464">
        <w:t xml:space="preserve">The </w:t>
      </w:r>
      <w:r w:rsidR="00EC2274" w:rsidRPr="00EF6464">
        <w:t xml:space="preserve">below </w:t>
      </w:r>
      <w:r w:rsidR="00B3212D" w:rsidRPr="00EF6464">
        <w:t>tables outline</w:t>
      </w:r>
      <w:r w:rsidRPr="00EF6464">
        <w:t xml:space="preserve"> the</w:t>
      </w:r>
      <w:r w:rsidR="00662AB1">
        <w:t xml:space="preserve"> </w:t>
      </w:r>
      <w:r w:rsidR="00B36A08">
        <w:t>detecting</w:t>
      </w:r>
      <w:r w:rsidRPr="00EF6464">
        <w:t xml:space="preserve"> failsafe report</w:t>
      </w:r>
      <w:r w:rsidR="00B3212D" w:rsidRPr="00EF6464">
        <w:t>ing</w:t>
      </w:r>
      <w:r w:rsidRPr="00EF6464">
        <w:t xml:space="preserve"> categories and the relevant actions.</w:t>
      </w:r>
    </w:p>
    <w:tbl>
      <w:tblPr>
        <w:tblStyle w:val="Ministrytable1"/>
        <w:tblW w:w="5000" w:type="pct"/>
        <w:tblLook w:val="04A0" w:firstRow="1" w:lastRow="0" w:firstColumn="1" w:lastColumn="0" w:noHBand="0" w:noVBand="1"/>
      </w:tblPr>
      <w:tblGrid>
        <w:gridCol w:w="9016"/>
      </w:tblGrid>
      <w:tr w:rsidR="002A3B2F" w:rsidRPr="001D48F8" w14:paraId="1581BCE2" w14:textId="77777777" w:rsidTr="0E671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68B351F" w14:textId="646F8D84" w:rsidR="002A3B2F" w:rsidRPr="001D48F8" w:rsidRDefault="00CF6A33" w:rsidP="001D48F8">
            <w:r>
              <w:rPr>
                <w:sz w:val="24"/>
                <w:szCs w:val="24"/>
              </w:rPr>
              <w:t>Master</w:t>
            </w:r>
            <w:r w:rsidR="001624EA">
              <w:rPr>
                <w:sz w:val="24"/>
                <w:szCs w:val="24"/>
              </w:rPr>
              <w:t xml:space="preserve"> </w:t>
            </w:r>
            <w:r w:rsidR="008A1C4A">
              <w:rPr>
                <w:sz w:val="24"/>
                <w:szCs w:val="24"/>
              </w:rPr>
              <w:t xml:space="preserve">Excel </w:t>
            </w:r>
            <w:r w:rsidR="001624EA">
              <w:rPr>
                <w:sz w:val="24"/>
                <w:szCs w:val="24"/>
              </w:rPr>
              <w:t>File</w:t>
            </w:r>
          </w:p>
        </w:tc>
      </w:tr>
      <w:tr w:rsidR="002A3B2F" w:rsidRPr="001D48F8" w14:paraId="1F66D364" w14:textId="77777777" w:rsidTr="0E67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AD8E43B" w14:textId="77777777" w:rsidR="00867A6B" w:rsidRPr="00993ADB" w:rsidRDefault="002A3B2F" w:rsidP="00D22B50">
            <w:pPr>
              <w:pStyle w:val="Heading3"/>
              <w:spacing w:after="0"/>
              <w:outlineLvl w:val="2"/>
              <w:rPr>
                <w:b/>
                <w:bCs/>
              </w:rPr>
            </w:pPr>
            <w:r w:rsidRPr="00993ADB">
              <w:rPr>
                <w:b/>
                <w:bCs/>
              </w:rPr>
              <w:t>Underage and incorrect vaccinations</w:t>
            </w:r>
          </w:p>
          <w:p w14:paraId="5319C9FD" w14:textId="621BC968" w:rsidR="00326C67" w:rsidRPr="00265AAE" w:rsidRDefault="002A3B2F" w:rsidP="00D22B50">
            <w:pPr>
              <w:spacing w:before="0"/>
            </w:pPr>
            <w:r w:rsidRPr="001D48F8">
              <w:rPr>
                <w:b w:val="0"/>
                <w:bCs w:val="0"/>
              </w:rPr>
              <w:t xml:space="preserve">Cases related to age and incorrect vaccine administered </w:t>
            </w:r>
            <w:r w:rsidR="006B3C39">
              <w:rPr>
                <w:b w:val="0"/>
                <w:bCs w:val="0"/>
              </w:rPr>
              <w:t>can be found</w:t>
            </w:r>
            <w:r w:rsidRPr="001D48F8">
              <w:rPr>
                <w:b w:val="0"/>
                <w:bCs w:val="0"/>
              </w:rPr>
              <w:t xml:space="preserve"> in the</w:t>
            </w:r>
            <w:r w:rsidR="009D6DB5">
              <w:rPr>
                <w:b w:val="0"/>
                <w:bCs w:val="0"/>
              </w:rPr>
              <w:t xml:space="preserve"> “</w:t>
            </w:r>
            <w:r w:rsidR="00F53FF1">
              <w:rPr>
                <w:b w:val="0"/>
                <w:bCs w:val="0"/>
              </w:rPr>
              <w:t xml:space="preserve">Master” excel file </w:t>
            </w:r>
            <w:r w:rsidRPr="001D48F8">
              <w:rPr>
                <w:b w:val="0"/>
                <w:bCs w:val="0"/>
              </w:rPr>
              <w:t>“Age” tab.</w:t>
            </w:r>
            <w:r w:rsidR="00907FC9" w:rsidRPr="001D48F8">
              <w:rPr>
                <w:b w:val="0"/>
                <w:bCs w:val="0"/>
              </w:rPr>
              <w:t xml:space="preserve"> </w:t>
            </w:r>
            <w:r w:rsidR="006B3C39">
              <w:rPr>
                <w:b w:val="0"/>
                <w:bCs w:val="0"/>
              </w:rPr>
              <w:t xml:space="preserve">For detailed information please see </w:t>
            </w:r>
            <w:r w:rsidR="006B3C39" w:rsidRPr="00A40089">
              <w:t>Appendix A</w:t>
            </w:r>
            <w:r w:rsidR="006B3C39">
              <w:rPr>
                <w:b w:val="0"/>
                <w:bCs w:val="0"/>
              </w:rPr>
              <w:t>.</w:t>
            </w:r>
            <w:r w:rsidR="00265AAE">
              <w:rPr>
                <w:b w:val="0"/>
                <w:bCs w:val="0"/>
              </w:rPr>
              <w:t xml:space="preserve"> </w:t>
            </w:r>
            <w:r w:rsidR="70B07D97">
              <w:rPr>
                <w:b w:val="0"/>
                <w:bCs w:val="0"/>
              </w:rPr>
              <w:t xml:space="preserve">Cases are not classified as an incident if </w:t>
            </w:r>
            <w:r w:rsidR="003D31E5">
              <w:rPr>
                <w:b w:val="0"/>
                <w:bCs w:val="0"/>
              </w:rPr>
              <w:t xml:space="preserve">the </w:t>
            </w:r>
            <w:r w:rsidR="002154E7">
              <w:rPr>
                <w:b w:val="0"/>
                <w:bCs w:val="0"/>
              </w:rPr>
              <w:t>appropriate</w:t>
            </w:r>
            <w:r w:rsidR="003D31E5">
              <w:rPr>
                <w:b w:val="0"/>
                <w:bCs w:val="0"/>
              </w:rPr>
              <w:t xml:space="preserve"> </w:t>
            </w:r>
            <w:r w:rsidR="70B07D97">
              <w:t>prescription</w:t>
            </w:r>
            <w:r w:rsidR="70B07D97">
              <w:rPr>
                <w:b w:val="0"/>
                <w:bCs w:val="0"/>
              </w:rPr>
              <w:t xml:space="preserve"> was used.</w:t>
            </w:r>
          </w:p>
        </w:tc>
      </w:tr>
      <w:tr w:rsidR="0027412D" w:rsidRPr="001D48F8" w14:paraId="4596A9B4" w14:textId="77777777" w:rsidTr="0E67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BD17612" w14:textId="4810B68E" w:rsidR="0027412D" w:rsidRPr="00993ADB" w:rsidRDefault="00565E6D" w:rsidP="00D22B50">
            <w:pPr>
              <w:pStyle w:val="Heading3"/>
              <w:spacing w:after="0"/>
              <w:outlineLvl w:val="2"/>
              <w:rPr>
                <w:b/>
                <w:bCs/>
                <w:lang w:val="en-NZ"/>
              </w:rPr>
            </w:pPr>
            <w:r>
              <w:rPr>
                <w:b/>
                <w:bCs/>
                <w:lang w:val="en-NZ"/>
              </w:rPr>
              <w:t xml:space="preserve">Dose interval </w:t>
            </w:r>
            <w:r w:rsidR="00861D95">
              <w:rPr>
                <w:b/>
                <w:bCs/>
                <w:lang w:val="en-NZ"/>
              </w:rPr>
              <w:t>g</w:t>
            </w:r>
            <w:r w:rsidR="009108A3">
              <w:rPr>
                <w:b/>
                <w:bCs/>
                <w:lang w:val="en-NZ"/>
              </w:rPr>
              <w:t>ap</w:t>
            </w:r>
          </w:p>
          <w:p w14:paraId="4F6DE27D" w14:textId="55D5468B" w:rsidR="0027412D" w:rsidRPr="00D85843" w:rsidRDefault="0027412D" w:rsidP="00D22B50">
            <w:pPr>
              <w:spacing w:before="0"/>
            </w:pPr>
            <w:r w:rsidRPr="001D48F8">
              <w:rPr>
                <w:b w:val="0"/>
                <w:bCs w:val="0"/>
                <w:lang w:val="en-NZ"/>
              </w:rPr>
              <w:t xml:space="preserve">Cases related to administering vaccine doses earlier than </w:t>
            </w:r>
            <w:r w:rsidR="00BF28A6">
              <w:rPr>
                <w:b w:val="0"/>
                <w:bCs w:val="0"/>
                <w:lang w:val="en-NZ"/>
              </w:rPr>
              <w:t xml:space="preserve">Medsafe </w:t>
            </w:r>
            <w:r w:rsidR="00565E6D">
              <w:rPr>
                <w:b w:val="0"/>
                <w:bCs w:val="0"/>
                <w:lang w:val="en-NZ"/>
              </w:rPr>
              <w:t>approved use</w:t>
            </w:r>
            <w:r w:rsidR="00DB5B25">
              <w:rPr>
                <w:b w:val="0"/>
                <w:bCs w:val="0"/>
                <w:lang w:val="en-NZ"/>
              </w:rPr>
              <w:t xml:space="preserve"> </w:t>
            </w:r>
            <w:r w:rsidR="00BF28A6">
              <w:rPr>
                <w:b w:val="0"/>
                <w:bCs w:val="0"/>
                <w:lang w:val="en-NZ"/>
              </w:rPr>
              <w:t>and/or</w:t>
            </w:r>
            <w:r w:rsidR="00DB5B25">
              <w:rPr>
                <w:b w:val="0"/>
                <w:bCs w:val="0"/>
                <w:lang w:val="en-NZ"/>
              </w:rPr>
              <w:t xml:space="preserve"> Programme recommended</w:t>
            </w:r>
            <w:r w:rsidR="00565E6D">
              <w:rPr>
                <w:b w:val="0"/>
                <w:bCs w:val="0"/>
                <w:lang w:val="en-NZ"/>
              </w:rPr>
              <w:t xml:space="preserve"> </w:t>
            </w:r>
            <w:r w:rsidR="006722D3" w:rsidRPr="006722D3">
              <w:rPr>
                <w:b w:val="0"/>
                <w:bCs w:val="0"/>
                <w:lang w:val="en-NZ"/>
              </w:rPr>
              <w:t xml:space="preserve">dose interval </w:t>
            </w:r>
            <w:r w:rsidRPr="001D48F8">
              <w:rPr>
                <w:b w:val="0"/>
                <w:bCs w:val="0"/>
                <w:lang w:val="en-NZ"/>
              </w:rPr>
              <w:t>can be found in the</w:t>
            </w:r>
            <w:r w:rsidR="00F53FF1">
              <w:rPr>
                <w:b w:val="0"/>
                <w:bCs w:val="0"/>
                <w:lang w:val="en-NZ"/>
              </w:rPr>
              <w:t xml:space="preserve"> </w:t>
            </w:r>
            <w:r w:rsidR="00F53FF1" w:rsidRPr="00F53FF1">
              <w:rPr>
                <w:b w:val="0"/>
                <w:bCs w:val="0"/>
              </w:rPr>
              <w:t xml:space="preserve">“Master” excel file </w:t>
            </w:r>
            <w:r w:rsidRPr="001D48F8">
              <w:rPr>
                <w:b w:val="0"/>
                <w:bCs w:val="0"/>
                <w:lang w:val="en-NZ"/>
              </w:rPr>
              <w:t xml:space="preserve">“Gap” excel tab. </w:t>
            </w:r>
            <w:r w:rsidR="006B3C39" w:rsidRPr="006B3C39">
              <w:rPr>
                <w:b w:val="0"/>
                <w:bCs w:val="0"/>
              </w:rPr>
              <w:t xml:space="preserve">For detailed information please see </w:t>
            </w:r>
            <w:r w:rsidR="006B3C39" w:rsidRPr="000B7B2F">
              <w:t>Appendix A</w:t>
            </w:r>
            <w:r w:rsidR="006B3C39" w:rsidRPr="006B3C39">
              <w:rPr>
                <w:b w:val="0"/>
                <w:bCs w:val="0"/>
              </w:rPr>
              <w:t>.</w:t>
            </w:r>
            <w:r w:rsidR="00D85843">
              <w:rPr>
                <w:b w:val="0"/>
                <w:bCs w:val="0"/>
              </w:rPr>
              <w:t xml:space="preserve"> </w:t>
            </w:r>
            <w:r w:rsidR="1E2B37C7" w:rsidRPr="000F11A5">
              <w:rPr>
                <w:b w:val="0"/>
                <w:bCs w:val="0"/>
                <w:lang w:val="en-NZ"/>
              </w:rPr>
              <w:t>Cases</w:t>
            </w:r>
            <w:r w:rsidR="1E2B37C7" w:rsidRPr="0E671E48">
              <w:rPr>
                <w:b w:val="0"/>
                <w:bCs w:val="0"/>
                <w:lang w:val="en-NZ"/>
              </w:rPr>
              <w:t xml:space="preserve"> are not classified as an incident if </w:t>
            </w:r>
            <w:r w:rsidR="002154E7">
              <w:rPr>
                <w:b w:val="0"/>
                <w:bCs w:val="0"/>
                <w:lang w:val="en-NZ"/>
              </w:rPr>
              <w:t>the appropriate</w:t>
            </w:r>
            <w:r w:rsidR="002154E7" w:rsidRPr="0E671E48">
              <w:rPr>
                <w:b w:val="0"/>
                <w:bCs w:val="0"/>
                <w:lang w:val="en-NZ"/>
              </w:rPr>
              <w:t xml:space="preserve"> </w:t>
            </w:r>
            <w:r w:rsidR="1E2B37C7" w:rsidRPr="0E671E48">
              <w:rPr>
                <w:lang w:val="en-NZ"/>
              </w:rPr>
              <w:t>prescription</w:t>
            </w:r>
            <w:r w:rsidR="1E2B37C7" w:rsidRPr="0E671E48">
              <w:rPr>
                <w:b w:val="0"/>
                <w:bCs w:val="0"/>
                <w:lang w:val="en-NZ"/>
              </w:rPr>
              <w:t xml:space="preserve"> was used.</w:t>
            </w:r>
          </w:p>
        </w:tc>
      </w:tr>
      <w:tr w:rsidR="0078554A" w:rsidRPr="001D48F8" w14:paraId="1436ACEE" w14:textId="77777777" w:rsidTr="0E67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F9A72E3" w14:textId="04477FE3" w:rsidR="0078554A" w:rsidRPr="0078554A" w:rsidRDefault="0078554A" w:rsidP="00D85843">
            <w:pPr>
              <w:pStyle w:val="Heading3"/>
              <w:spacing w:after="0"/>
              <w:outlineLvl w:val="2"/>
              <w:rPr>
                <w:lang w:val="en-NZ"/>
              </w:rPr>
            </w:pPr>
            <w:r>
              <w:rPr>
                <w:b/>
                <w:bCs/>
                <w:lang w:val="en-NZ"/>
              </w:rPr>
              <w:t>Additional dose</w:t>
            </w:r>
          </w:p>
          <w:p w14:paraId="55E02D4C" w14:textId="7D6AEB63" w:rsidR="0078554A" w:rsidRPr="00D85843" w:rsidRDefault="0078554A" w:rsidP="00D85843">
            <w:pPr>
              <w:pStyle w:val="Heading3"/>
              <w:spacing w:before="0"/>
              <w:outlineLvl w:val="2"/>
              <w:rPr>
                <w:color w:val="auto"/>
                <w:sz w:val="20"/>
                <w:szCs w:val="20"/>
              </w:rPr>
            </w:pPr>
            <w:r w:rsidRPr="00851D0F">
              <w:rPr>
                <w:color w:val="auto"/>
                <w:sz w:val="20"/>
                <w:szCs w:val="20"/>
                <w:lang w:val="en-NZ"/>
              </w:rPr>
              <w:t>Cases related to administering additional doses can be found in the</w:t>
            </w:r>
            <w:r w:rsidRPr="00851D0F">
              <w:rPr>
                <w:b/>
                <w:bCs/>
                <w:color w:val="auto"/>
                <w:sz w:val="20"/>
                <w:szCs w:val="20"/>
                <w:lang w:val="en-NZ"/>
              </w:rPr>
              <w:t xml:space="preserve"> </w:t>
            </w:r>
            <w:r w:rsidRPr="00851D0F">
              <w:rPr>
                <w:color w:val="auto"/>
                <w:sz w:val="20"/>
                <w:szCs w:val="20"/>
              </w:rPr>
              <w:t xml:space="preserve">“Master” excel file </w:t>
            </w:r>
            <w:r w:rsidRPr="00851D0F">
              <w:rPr>
                <w:color w:val="auto"/>
                <w:sz w:val="20"/>
                <w:szCs w:val="20"/>
                <w:lang w:val="en-NZ"/>
              </w:rPr>
              <w:t>“Additional dose</w:t>
            </w:r>
            <w:r w:rsidRPr="00C74159">
              <w:rPr>
                <w:color w:val="auto"/>
                <w:sz w:val="20"/>
                <w:szCs w:val="20"/>
                <w:lang w:val="en-NZ"/>
              </w:rPr>
              <w:t>”</w:t>
            </w:r>
            <w:r w:rsidRPr="00851D0F">
              <w:rPr>
                <w:color w:val="auto"/>
                <w:sz w:val="20"/>
                <w:szCs w:val="20"/>
                <w:lang w:val="en-NZ"/>
              </w:rPr>
              <w:t xml:space="preserve"> </w:t>
            </w:r>
            <w:r w:rsidRPr="00F762AE">
              <w:rPr>
                <w:color w:val="auto"/>
                <w:sz w:val="20"/>
                <w:szCs w:val="20"/>
                <w:lang w:val="en-NZ"/>
              </w:rPr>
              <w:t xml:space="preserve">tab. </w:t>
            </w:r>
            <w:r w:rsidRPr="00F762AE">
              <w:rPr>
                <w:color w:val="auto"/>
                <w:sz w:val="20"/>
                <w:szCs w:val="20"/>
              </w:rPr>
              <w:t xml:space="preserve">For detailed information please see </w:t>
            </w:r>
            <w:r w:rsidRPr="00F762AE">
              <w:rPr>
                <w:b/>
                <w:bCs/>
                <w:color w:val="auto"/>
                <w:sz w:val="20"/>
                <w:szCs w:val="20"/>
              </w:rPr>
              <w:t>Appendix A</w:t>
            </w:r>
            <w:r w:rsidRPr="00F762AE">
              <w:rPr>
                <w:color w:val="auto"/>
                <w:sz w:val="20"/>
                <w:szCs w:val="20"/>
              </w:rPr>
              <w:t>.</w:t>
            </w:r>
            <w:r w:rsidR="00D85843">
              <w:rPr>
                <w:color w:val="auto"/>
                <w:sz w:val="20"/>
                <w:szCs w:val="20"/>
              </w:rPr>
              <w:t xml:space="preserve"> </w:t>
            </w:r>
            <w:r w:rsidRPr="00F762AE">
              <w:rPr>
                <w:color w:val="auto"/>
                <w:sz w:val="20"/>
                <w:szCs w:val="20"/>
                <w:lang w:val="en-NZ"/>
              </w:rPr>
              <w:t xml:space="preserve">Cases are not classified as an incident if the appropriate </w:t>
            </w:r>
            <w:r w:rsidRPr="00F762AE">
              <w:rPr>
                <w:b/>
                <w:bCs/>
                <w:color w:val="auto"/>
                <w:sz w:val="20"/>
                <w:szCs w:val="20"/>
                <w:lang w:val="en-NZ"/>
              </w:rPr>
              <w:t>prescription</w:t>
            </w:r>
            <w:r w:rsidRPr="00F762AE">
              <w:rPr>
                <w:color w:val="auto"/>
                <w:sz w:val="20"/>
                <w:szCs w:val="20"/>
                <w:lang w:val="en-NZ"/>
              </w:rPr>
              <w:t xml:space="preserve"> was used.</w:t>
            </w:r>
          </w:p>
        </w:tc>
      </w:tr>
      <w:tr w:rsidR="00493775" w:rsidRPr="001D48F8" w14:paraId="513B38EE" w14:textId="77777777" w:rsidTr="0E671E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shd w:val="clear" w:color="auto" w:fill="D9E2F3" w:themeFill="accent1" w:themeFillTint="33"/>
          </w:tcPr>
          <w:p w14:paraId="14965B96" w14:textId="2BD43B47" w:rsidR="00855B91" w:rsidRPr="00850368" w:rsidRDefault="00855B91" w:rsidP="001D48F8">
            <w:pPr>
              <w:rPr>
                <w:lang w:val="en-NZ"/>
              </w:rPr>
            </w:pPr>
            <w:r w:rsidRPr="007E11A7">
              <w:rPr>
                <w:lang w:val="en-NZ"/>
              </w:rPr>
              <w:t>Actions</w:t>
            </w:r>
            <w:r w:rsidRPr="001D48F8">
              <w:rPr>
                <w:b w:val="0"/>
                <w:bCs w:val="0"/>
                <w:lang w:val="en-NZ"/>
              </w:rPr>
              <w:t xml:space="preserve"> </w:t>
            </w:r>
            <w:r w:rsidRPr="00850368">
              <w:rPr>
                <w:lang w:val="en-NZ"/>
              </w:rPr>
              <w:t>for the age and gap tabs (records post 1 February 2022):</w:t>
            </w:r>
          </w:p>
          <w:p w14:paraId="67445864" w14:textId="492A7152" w:rsidR="00855B91" w:rsidRPr="007E11A7" w:rsidRDefault="00855B91" w:rsidP="001D48F8">
            <w:pPr>
              <w:pStyle w:val="ListParagraph"/>
              <w:numPr>
                <w:ilvl w:val="0"/>
                <w:numId w:val="15"/>
              </w:numPr>
              <w:rPr>
                <w:b w:val="0"/>
                <w:bCs w:val="0"/>
              </w:rPr>
            </w:pPr>
            <w:r w:rsidRPr="007E11A7">
              <w:rPr>
                <w:b w:val="0"/>
                <w:bCs w:val="0"/>
              </w:rPr>
              <w:t>Verify if record is accurate (a true incident</w:t>
            </w:r>
            <w:r w:rsidR="00C34BA7" w:rsidRPr="007E11A7">
              <w:rPr>
                <w:b w:val="0"/>
                <w:bCs w:val="0"/>
              </w:rPr>
              <w:t xml:space="preserve"> without prescription</w:t>
            </w:r>
            <w:r w:rsidRPr="007E11A7">
              <w:rPr>
                <w:b w:val="0"/>
                <w:bCs w:val="0"/>
              </w:rPr>
              <w:t>) or a data quality error (e.g., wrong DOB)</w:t>
            </w:r>
            <w:r w:rsidR="00E156B6">
              <w:rPr>
                <w:b w:val="0"/>
                <w:bCs w:val="0"/>
              </w:rPr>
              <w:t>.</w:t>
            </w:r>
          </w:p>
          <w:p w14:paraId="43FFD86F" w14:textId="2A4BC653" w:rsidR="00855B91" w:rsidRPr="003B60C9" w:rsidRDefault="00855B91" w:rsidP="001D48F8">
            <w:pPr>
              <w:pStyle w:val="ListParagraph"/>
              <w:numPr>
                <w:ilvl w:val="0"/>
                <w:numId w:val="15"/>
              </w:numPr>
              <w:rPr>
                <w:b w:val="0"/>
                <w:bCs w:val="0"/>
              </w:rPr>
            </w:pPr>
            <w:r w:rsidRPr="007E11A7">
              <w:rPr>
                <w:b w:val="0"/>
                <w:bCs w:val="0"/>
              </w:rPr>
              <w:t xml:space="preserve">Update verification and status in teams excel sheet under </w:t>
            </w:r>
            <w:r w:rsidR="003B60C9">
              <w:rPr>
                <w:b w:val="0"/>
                <w:bCs w:val="0"/>
              </w:rPr>
              <w:t>the following columns:</w:t>
            </w:r>
          </w:p>
          <w:p w14:paraId="606A0008" w14:textId="51BF503E" w:rsidR="003B60C9" w:rsidRPr="003B60C9" w:rsidRDefault="003B60C9" w:rsidP="00E156B6">
            <w:pPr>
              <w:pStyle w:val="ListParagraph"/>
              <w:numPr>
                <w:ilvl w:val="1"/>
                <w:numId w:val="15"/>
              </w:numPr>
              <w:ind w:left="1303"/>
              <w:rPr>
                <w:b w:val="0"/>
                <w:bCs w:val="0"/>
              </w:rPr>
            </w:pPr>
            <w:r w:rsidRPr="003B60C9">
              <w:rPr>
                <w:b w:val="0"/>
                <w:bCs w:val="0"/>
              </w:rPr>
              <w:t>Data quality error (Y/N</w:t>
            </w:r>
            <w:r w:rsidR="00C54381">
              <w:rPr>
                <w:b w:val="0"/>
                <w:bCs w:val="0"/>
              </w:rPr>
              <w:t>/</w:t>
            </w:r>
            <w:r w:rsidR="00C54381" w:rsidRPr="00C54381">
              <w:rPr>
                <w:b w:val="0"/>
                <w:bCs w:val="0"/>
              </w:rPr>
              <w:t>NA</w:t>
            </w:r>
            <w:r w:rsidRPr="003B60C9">
              <w:rPr>
                <w:b w:val="0"/>
                <w:bCs w:val="0"/>
              </w:rPr>
              <w:t>)</w:t>
            </w:r>
          </w:p>
          <w:p w14:paraId="5D902000" w14:textId="7FA7224F" w:rsidR="003B60C9" w:rsidRPr="003B60C9" w:rsidRDefault="003B60C9" w:rsidP="00E156B6">
            <w:pPr>
              <w:pStyle w:val="ListParagraph"/>
              <w:numPr>
                <w:ilvl w:val="1"/>
                <w:numId w:val="15"/>
              </w:numPr>
              <w:ind w:left="1303"/>
              <w:rPr>
                <w:b w:val="0"/>
                <w:bCs w:val="0"/>
              </w:rPr>
            </w:pPr>
            <w:r w:rsidRPr="003B60C9">
              <w:rPr>
                <w:b w:val="0"/>
                <w:bCs w:val="0"/>
              </w:rPr>
              <w:t>CIR helpdesk contacted (Y/N</w:t>
            </w:r>
            <w:r w:rsidR="00C54381">
              <w:rPr>
                <w:b w:val="0"/>
                <w:bCs w:val="0"/>
              </w:rPr>
              <w:t>/</w:t>
            </w:r>
            <w:r w:rsidR="00C54381" w:rsidRPr="00C54381">
              <w:rPr>
                <w:b w:val="0"/>
                <w:bCs w:val="0"/>
              </w:rPr>
              <w:t>NA</w:t>
            </w:r>
            <w:r w:rsidRPr="003B60C9">
              <w:rPr>
                <w:b w:val="0"/>
                <w:bCs w:val="0"/>
              </w:rPr>
              <w:t>)</w:t>
            </w:r>
          </w:p>
          <w:p w14:paraId="7D288BD2" w14:textId="205273F9" w:rsidR="003B60C9" w:rsidRPr="003B60C9" w:rsidRDefault="003B60C9" w:rsidP="00E156B6">
            <w:pPr>
              <w:pStyle w:val="ListParagraph"/>
              <w:numPr>
                <w:ilvl w:val="1"/>
                <w:numId w:val="15"/>
              </w:numPr>
              <w:ind w:left="1303"/>
              <w:rPr>
                <w:b w:val="0"/>
                <w:bCs w:val="0"/>
              </w:rPr>
            </w:pPr>
            <w:r w:rsidRPr="003B60C9">
              <w:rPr>
                <w:b w:val="0"/>
                <w:bCs w:val="0"/>
              </w:rPr>
              <w:t>Verified Incident (Y/N</w:t>
            </w:r>
            <w:r w:rsidR="00C54381">
              <w:rPr>
                <w:b w:val="0"/>
                <w:bCs w:val="0"/>
              </w:rPr>
              <w:t>/NA</w:t>
            </w:r>
            <w:r w:rsidRPr="003B60C9">
              <w:rPr>
                <w:b w:val="0"/>
                <w:bCs w:val="0"/>
              </w:rPr>
              <w:t>)</w:t>
            </w:r>
          </w:p>
          <w:p w14:paraId="1788DFBE" w14:textId="7B06FA40" w:rsidR="003B60C9" w:rsidRPr="003B60C9" w:rsidRDefault="003B60C9" w:rsidP="00E156B6">
            <w:pPr>
              <w:pStyle w:val="ListParagraph"/>
              <w:numPr>
                <w:ilvl w:val="1"/>
                <w:numId w:val="15"/>
              </w:numPr>
              <w:ind w:left="1303"/>
              <w:rPr>
                <w:b w:val="0"/>
                <w:bCs w:val="0"/>
              </w:rPr>
            </w:pPr>
            <w:r w:rsidRPr="003B60C9">
              <w:rPr>
                <w:b w:val="0"/>
                <w:bCs w:val="0"/>
              </w:rPr>
              <w:t>NIP incident notification form submitted (Y/N</w:t>
            </w:r>
            <w:r w:rsidR="00C54381">
              <w:rPr>
                <w:b w:val="0"/>
                <w:bCs w:val="0"/>
              </w:rPr>
              <w:t>/NA</w:t>
            </w:r>
            <w:r w:rsidRPr="003B60C9">
              <w:rPr>
                <w:b w:val="0"/>
                <w:bCs w:val="0"/>
              </w:rPr>
              <w:t>)</w:t>
            </w:r>
          </w:p>
          <w:p w14:paraId="380415FA" w14:textId="0B7EDB19" w:rsidR="003B60C9" w:rsidRPr="003B60C9" w:rsidRDefault="003B60C9" w:rsidP="00E156B6">
            <w:pPr>
              <w:pStyle w:val="ListParagraph"/>
              <w:numPr>
                <w:ilvl w:val="1"/>
                <w:numId w:val="15"/>
              </w:numPr>
              <w:ind w:left="1303"/>
              <w:rPr>
                <w:b w:val="0"/>
                <w:bCs w:val="0"/>
              </w:rPr>
            </w:pPr>
            <w:r w:rsidRPr="003B60C9">
              <w:rPr>
                <w:b w:val="0"/>
                <w:bCs w:val="0"/>
              </w:rPr>
              <w:t>Prescription</w:t>
            </w:r>
            <w:r w:rsidR="00C54381">
              <w:rPr>
                <w:b w:val="0"/>
                <w:bCs w:val="0"/>
              </w:rPr>
              <w:t xml:space="preserve"> (Y/N/NA)</w:t>
            </w:r>
          </w:p>
          <w:p w14:paraId="491EE793" w14:textId="624FFF92" w:rsidR="00855B91" w:rsidRPr="007E11A7" w:rsidRDefault="00855B91" w:rsidP="001D48F8">
            <w:pPr>
              <w:pStyle w:val="ListParagraph"/>
              <w:numPr>
                <w:ilvl w:val="0"/>
                <w:numId w:val="15"/>
              </w:numPr>
              <w:rPr>
                <w:b w:val="0"/>
                <w:bCs w:val="0"/>
              </w:rPr>
            </w:pPr>
            <w:r w:rsidRPr="007E11A7">
              <w:rPr>
                <w:b w:val="0"/>
                <w:bCs w:val="0"/>
              </w:rPr>
              <w:t>If data quality error</w:t>
            </w:r>
            <w:r w:rsidR="00E16870">
              <w:rPr>
                <w:b w:val="0"/>
                <w:bCs w:val="0"/>
              </w:rPr>
              <w:t>,</w:t>
            </w:r>
            <w:r w:rsidR="00C54381">
              <w:rPr>
                <w:b w:val="0"/>
                <w:bCs w:val="0"/>
              </w:rPr>
              <w:t xml:space="preserve"> correct (if able)</w:t>
            </w:r>
            <w:r w:rsidR="00AE0151">
              <w:rPr>
                <w:b w:val="0"/>
                <w:bCs w:val="0"/>
              </w:rPr>
              <w:t xml:space="preserve"> </w:t>
            </w:r>
            <w:r w:rsidR="00AE0151">
              <w:t>or</w:t>
            </w:r>
            <w:r w:rsidR="00C54381">
              <w:rPr>
                <w:b w:val="0"/>
                <w:bCs w:val="0"/>
              </w:rPr>
              <w:t xml:space="preserve"> </w:t>
            </w:r>
            <w:r w:rsidR="00AE0151">
              <w:rPr>
                <w:b w:val="0"/>
                <w:bCs w:val="0"/>
              </w:rPr>
              <w:t>provide relevant information to</w:t>
            </w:r>
            <w:r w:rsidRPr="007E11A7">
              <w:rPr>
                <w:b w:val="0"/>
                <w:bCs w:val="0"/>
              </w:rPr>
              <w:t xml:space="preserve"> </w:t>
            </w:r>
            <w:hyperlink r:id="rId17" w:history="1">
              <w:r w:rsidRPr="007E11A7">
                <w:rPr>
                  <w:rStyle w:val="Hyperlink"/>
                  <w:b w:val="0"/>
                  <w:bCs w:val="0"/>
                  <w:szCs w:val="22"/>
                </w:rPr>
                <w:t>help@c-19imms.min.health.nz</w:t>
              </w:r>
            </w:hyperlink>
          </w:p>
          <w:p w14:paraId="41A6D6A8" w14:textId="414C6030" w:rsidR="00855B91" w:rsidRPr="007E11A7" w:rsidRDefault="00855B91" w:rsidP="001D48F8">
            <w:pPr>
              <w:pStyle w:val="ListParagraph"/>
              <w:numPr>
                <w:ilvl w:val="0"/>
                <w:numId w:val="15"/>
              </w:numPr>
              <w:rPr>
                <w:b w:val="0"/>
                <w:bCs w:val="0"/>
              </w:rPr>
            </w:pPr>
            <w:r w:rsidRPr="007E11A7">
              <w:rPr>
                <w:b w:val="0"/>
                <w:bCs w:val="0"/>
              </w:rPr>
              <w:t>If the report is a verified incident</w:t>
            </w:r>
            <w:r w:rsidR="00C34BA7" w:rsidRPr="007E11A7">
              <w:rPr>
                <w:b w:val="0"/>
                <w:bCs w:val="0"/>
              </w:rPr>
              <w:t xml:space="preserve"> without prescription</w:t>
            </w:r>
            <w:r w:rsidRPr="007E11A7">
              <w:rPr>
                <w:b w:val="0"/>
                <w:bCs w:val="0"/>
              </w:rPr>
              <w:t>:</w:t>
            </w:r>
          </w:p>
          <w:p w14:paraId="7F122E5A" w14:textId="2543CEF6" w:rsidR="00855B91" w:rsidRPr="007E11A7" w:rsidRDefault="00855B91" w:rsidP="00E156B6">
            <w:pPr>
              <w:pStyle w:val="ListParagraph"/>
              <w:numPr>
                <w:ilvl w:val="1"/>
                <w:numId w:val="15"/>
              </w:numPr>
              <w:ind w:left="1303"/>
              <w:rPr>
                <w:b w:val="0"/>
                <w:bCs w:val="0"/>
              </w:rPr>
            </w:pPr>
            <w:r w:rsidRPr="007E11A7">
              <w:rPr>
                <w:b w:val="0"/>
                <w:bCs w:val="0"/>
              </w:rPr>
              <w:t xml:space="preserve">Notify the Ministry of any incidents (using the NIP Adverse Event Notification Form found in the </w:t>
            </w:r>
            <w:hyperlink r:id="rId18" w:history="1">
              <w:r w:rsidRPr="007E11A7">
                <w:rPr>
                  <w:rStyle w:val="Hyperlink"/>
                  <w:b w:val="0"/>
                  <w:bCs w:val="0"/>
                  <w:szCs w:val="22"/>
                </w:rPr>
                <w:t>COVID-19 Vaccine Operating Guidelines</w:t>
              </w:r>
            </w:hyperlink>
            <w:r w:rsidRPr="007E11A7">
              <w:rPr>
                <w:b w:val="0"/>
                <w:bCs w:val="0"/>
              </w:rPr>
              <w:t xml:space="preserve"> Appendix I). The incident should be investigated through the </w:t>
            </w:r>
            <w:proofErr w:type="spellStart"/>
            <w:r w:rsidR="006D76A5">
              <w:rPr>
                <w:b w:val="0"/>
                <w:bCs w:val="0"/>
              </w:rPr>
              <w:t>Districts</w:t>
            </w:r>
            <w:r w:rsidR="005E38A2" w:rsidRPr="007E11A7">
              <w:rPr>
                <w:b w:val="0"/>
                <w:bCs w:val="0"/>
              </w:rPr>
              <w:t>’s</w:t>
            </w:r>
            <w:proofErr w:type="spellEnd"/>
            <w:r w:rsidR="005E38A2" w:rsidRPr="007E11A7">
              <w:rPr>
                <w:b w:val="0"/>
                <w:bCs w:val="0"/>
              </w:rPr>
              <w:t xml:space="preserve"> </w:t>
            </w:r>
            <w:r w:rsidRPr="007E11A7">
              <w:rPr>
                <w:b w:val="0"/>
                <w:bCs w:val="0"/>
              </w:rPr>
              <w:t>usual incident channels and processes.</w:t>
            </w:r>
          </w:p>
          <w:p w14:paraId="4629EB78" w14:textId="4A7467B0" w:rsidR="00493775" w:rsidRPr="00FF10CE" w:rsidRDefault="00855B91" w:rsidP="001D48F8">
            <w:pPr>
              <w:rPr>
                <w:b w:val="0"/>
                <w:bCs w:val="0"/>
                <w:lang w:val="en-NZ"/>
              </w:rPr>
            </w:pPr>
            <w:r w:rsidRPr="007E11A7">
              <w:rPr>
                <w:lang w:val="en-NZ"/>
              </w:rPr>
              <w:t>Note:</w:t>
            </w:r>
            <w:r w:rsidRPr="001D48F8">
              <w:rPr>
                <w:b w:val="0"/>
                <w:bCs w:val="0"/>
                <w:lang w:val="en-NZ"/>
              </w:rPr>
              <w:t xml:space="preserve"> </w:t>
            </w:r>
            <w:r w:rsidR="00D67A55">
              <w:rPr>
                <w:b w:val="0"/>
                <w:bCs w:val="0"/>
                <w:lang w:val="en-NZ"/>
              </w:rPr>
              <w:t xml:space="preserve">To address the </w:t>
            </w:r>
            <w:r w:rsidR="00880340">
              <w:rPr>
                <w:b w:val="0"/>
                <w:bCs w:val="0"/>
                <w:lang w:val="en-NZ"/>
              </w:rPr>
              <w:t>incident,</w:t>
            </w:r>
            <w:r w:rsidR="00D67A55">
              <w:rPr>
                <w:b w:val="0"/>
                <w:bCs w:val="0"/>
                <w:lang w:val="en-NZ"/>
              </w:rPr>
              <w:t xml:space="preserve"> </w:t>
            </w:r>
            <w:r w:rsidR="00880340">
              <w:rPr>
                <w:b w:val="0"/>
                <w:bCs w:val="0"/>
                <w:lang w:val="en-NZ"/>
              </w:rPr>
              <w:t>the</w:t>
            </w:r>
            <w:r w:rsidR="00D67A55">
              <w:rPr>
                <w:b w:val="0"/>
                <w:bCs w:val="0"/>
                <w:lang w:val="en-NZ"/>
              </w:rPr>
              <w:t xml:space="preserve"> </w:t>
            </w:r>
            <w:r w:rsidR="006D76A5">
              <w:rPr>
                <w:b w:val="0"/>
                <w:bCs w:val="0"/>
                <w:lang w:val="en-NZ"/>
              </w:rPr>
              <w:t>District</w:t>
            </w:r>
            <w:r w:rsidR="005E38A2" w:rsidRPr="001D48F8">
              <w:rPr>
                <w:b w:val="0"/>
                <w:bCs w:val="0"/>
                <w:lang w:val="en-NZ"/>
              </w:rPr>
              <w:t xml:space="preserve"> </w:t>
            </w:r>
            <w:r w:rsidRPr="00757623">
              <w:rPr>
                <w:b w:val="0"/>
                <w:bCs w:val="0"/>
                <w:lang w:val="en-NZ"/>
              </w:rPr>
              <w:t>share</w:t>
            </w:r>
            <w:r w:rsidR="00D67A55" w:rsidRPr="00757623">
              <w:rPr>
                <w:b w:val="0"/>
                <w:bCs w:val="0"/>
                <w:lang w:val="en-NZ"/>
              </w:rPr>
              <w:t>s</w:t>
            </w:r>
            <w:r w:rsidRPr="00757623">
              <w:rPr>
                <w:b w:val="0"/>
                <w:bCs w:val="0"/>
                <w:lang w:val="en-NZ"/>
              </w:rPr>
              <w:t xml:space="preserve"> with the</w:t>
            </w:r>
            <w:r w:rsidR="00114C15" w:rsidRPr="00757623">
              <w:rPr>
                <w:b w:val="0"/>
                <w:bCs w:val="0"/>
                <w:lang w:val="en-NZ"/>
              </w:rPr>
              <w:t xml:space="preserve"> incident response lead</w:t>
            </w:r>
            <w:r w:rsidR="00757623">
              <w:rPr>
                <w:b w:val="0"/>
                <w:bCs w:val="0"/>
                <w:lang w:val="en-NZ"/>
              </w:rPr>
              <w:t xml:space="preserve"> </w:t>
            </w:r>
            <w:r w:rsidRPr="00757623">
              <w:rPr>
                <w:b w:val="0"/>
                <w:bCs w:val="0"/>
                <w:lang w:val="en-NZ"/>
              </w:rPr>
              <w:t>the relevant documents and incident toolkits</w:t>
            </w:r>
            <w:r w:rsidRPr="001D48F8">
              <w:rPr>
                <w:b w:val="0"/>
                <w:bCs w:val="0"/>
                <w:lang w:val="en-NZ"/>
              </w:rPr>
              <w:t xml:space="preserve"> on the </w:t>
            </w:r>
            <w:hyperlink r:id="rId19" w:history="1">
              <w:r w:rsidRPr="001D48F8">
                <w:rPr>
                  <w:rStyle w:val="Hyperlink"/>
                  <w:b w:val="0"/>
                  <w:bCs w:val="0"/>
                  <w:szCs w:val="22"/>
                  <w:lang w:val="en-NZ"/>
                </w:rPr>
                <w:t>Connex ‘Mahi Tahi’ SharePoint</w:t>
              </w:r>
            </w:hyperlink>
            <w:r w:rsidRPr="001D48F8">
              <w:rPr>
                <w:b w:val="0"/>
                <w:bCs w:val="0"/>
                <w:lang w:val="en-NZ"/>
              </w:rPr>
              <w:t xml:space="preserve">. </w:t>
            </w:r>
          </w:p>
        </w:tc>
      </w:tr>
    </w:tbl>
    <w:p w14:paraId="50E0CD6A" w14:textId="4B5F2DED" w:rsidR="00C47368" w:rsidRDefault="00C47368" w:rsidP="00265AAE">
      <w:pPr>
        <w:spacing w:before="0" w:after="160" w:line="2" w:lineRule="auto"/>
      </w:pPr>
    </w:p>
    <w:tbl>
      <w:tblPr>
        <w:tblStyle w:val="Ministrytable11"/>
        <w:tblpPr w:leftFromText="180" w:rightFromText="180" w:vertAnchor="text" w:horzAnchor="margin" w:tblpY="15"/>
        <w:tblW w:w="5000" w:type="pct"/>
        <w:tblLook w:val="04A0" w:firstRow="1" w:lastRow="0" w:firstColumn="1" w:lastColumn="0" w:noHBand="0" w:noVBand="1"/>
      </w:tblPr>
      <w:tblGrid>
        <w:gridCol w:w="9016"/>
      </w:tblGrid>
      <w:tr w:rsidR="001F323B" w:rsidRPr="00A23E66" w14:paraId="417577BF" w14:textId="77777777" w:rsidTr="001F3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EBC8636" w14:textId="77777777" w:rsidR="001F323B" w:rsidRPr="00A23E66" w:rsidRDefault="001F323B" w:rsidP="001F323B">
            <w:pPr>
              <w:rPr>
                <w:lang w:eastAsia="en-GB"/>
              </w:rPr>
            </w:pPr>
            <w:r>
              <w:rPr>
                <w:sz w:val="24"/>
                <w:szCs w:val="24"/>
                <w:lang w:eastAsia="en-GB"/>
              </w:rPr>
              <w:t xml:space="preserve">Monitoring </w:t>
            </w:r>
          </w:p>
        </w:tc>
      </w:tr>
      <w:tr w:rsidR="001F323B" w:rsidRPr="00A23E66" w14:paraId="0B29FBE9" w14:textId="77777777" w:rsidTr="001F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7FA1B8" w14:textId="77777777" w:rsidR="001F323B" w:rsidRPr="00993ADB" w:rsidRDefault="001F323B" w:rsidP="001F323B">
            <w:pPr>
              <w:pStyle w:val="Heading3"/>
              <w:outlineLvl w:val="2"/>
              <w:rPr>
                <w:b/>
                <w:bCs/>
                <w:lang w:val="en-NZ"/>
              </w:rPr>
            </w:pPr>
            <w:r w:rsidRPr="00993ADB">
              <w:rPr>
                <w:b/>
                <w:bCs/>
                <w:lang w:val="en-NZ"/>
              </w:rPr>
              <w:t xml:space="preserve">Monitoring failsafe reports </w:t>
            </w:r>
          </w:p>
          <w:p w14:paraId="056BE6B1" w14:textId="0702F27B" w:rsidR="001F323B" w:rsidRDefault="001F323B" w:rsidP="001F323B">
            <w:pPr>
              <w:rPr>
                <w:lang w:val="en-NZ" w:eastAsia="en-GB"/>
              </w:rPr>
            </w:pPr>
            <w:r>
              <w:rPr>
                <w:b w:val="0"/>
                <w:bCs w:val="0"/>
                <w:lang w:val="en-NZ" w:eastAsia="en-GB"/>
              </w:rPr>
              <w:t xml:space="preserve">These are records available for </w:t>
            </w:r>
            <w:r w:rsidR="006D76A5">
              <w:rPr>
                <w:b w:val="0"/>
                <w:bCs w:val="0"/>
                <w:lang w:val="en-NZ" w:eastAsia="en-GB"/>
              </w:rPr>
              <w:t>Districts</w:t>
            </w:r>
            <w:r w:rsidR="005E38A2">
              <w:rPr>
                <w:b w:val="0"/>
                <w:bCs w:val="0"/>
                <w:lang w:val="en-NZ" w:eastAsia="en-GB"/>
              </w:rPr>
              <w:t xml:space="preserve"> </w:t>
            </w:r>
            <w:r>
              <w:rPr>
                <w:b w:val="0"/>
                <w:bCs w:val="0"/>
                <w:lang w:val="en-NZ" w:eastAsia="en-GB"/>
              </w:rPr>
              <w:t>to monitor any recurring patterns.</w:t>
            </w:r>
          </w:p>
          <w:p w14:paraId="4CA5AEA6" w14:textId="1E36ADC4" w:rsidR="001F323B" w:rsidRPr="007C69EA" w:rsidRDefault="001F323B" w:rsidP="007C69EA">
            <w:pPr>
              <w:pStyle w:val="ListParagraph"/>
              <w:numPr>
                <w:ilvl w:val="0"/>
                <w:numId w:val="24"/>
              </w:numPr>
              <w:rPr>
                <w:b w:val="0"/>
                <w:bCs w:val="0"/>
                <w:lang w:eastAsia="en-GB"/>
              </w:rPr>
            </w:pPr>
            <w:r w:rsidRPr="00E3274B">
              <w:rPr>
                <w:b w:val="0"/>
                <w:bCs w:val="0"/>
                <w:lang w:eastAsia="en-GB"/>
              </w:rPr>
              <w:t>A second primary dose of the Paediatric Pfizer vaccine administered between 22 days and 8 weeks (56</w:t>
            </w:r>
            <w:r>
              <w:rPr>
                <w:b w:val="0"/>
                <w:bCs w:val="0"/>
                <w:lang w:eastAsia="en-GB"/>
              </w:rPr>
              <w:t xml:space="preserve"> </w:t>
            </w:r>
            <w:r w:rsidRPr="00E3274B">
              <w:rPr>
                <w:b w:val="0"/>
                <w:bCs w:val="0"/>
                <w:lang w:eastAsia="en-GB"/>
              </w:rPr>
              <w:t>days) after the first primary dose.</w:t>
            </w:r>
            <w:r w:rsidR="007C69EA">
              <w:rPr>
                <w:b w:val="0"/>
                <w:bCs w:val="0"/>
                <w:lang w:eastAsia="en-GB"/>
              </w:rPr>
              <w:t xml:space="preserve"> </w:t>
            </w:r>
            <w:r w:rsidR="007C69EA">
              <w:rPr>
                <w:b w:val="0"/>
                <w:bCs w:val="0"/>
                <w:lang w:eastAsia="en-GB"/>
              </w:rPr>
              <w:br/>
            </w:r>
            <w:r w:rsidRPr="007C69EA">
              <w:rPr>
                <w:b w:val="0"/>
                <w:bCs w:val="0"/>
                <w:lang w:eastAsia="en-GB"/>
              </w:rPr>
              <w:t xml:space="preserve">If a site is </w:t>
            </w:r>
            <w:r w:rsidR="00114C15" w:rsidRPr="007C69EA">
              <w:rPr>
                <w:b w:val="0"/>
                <w:bCs w:val="0"/>
                <w:lang w:eastAsia="en-GB"/>
              </w:rPr>
              <w:t xml:space="preserve">reported as </w:t>
            </w:r>
            <w:r w:rsidRPr="007C69EA">
              <w:rPr>
                <w:b w:val="0"/>
                <w:bCs w:val="0"/>
                <w:lang w:eastAsia="en-GB"/>
              </w:rPr>
              <w:t xml:space="preserve">administering multiple Paediatric Pfizer vaccines in this interval, the </w:t>
            </w:r>
            <w:r w:rsidR="006D76A5" w:rsidRPr="007C69EA">
              <w:rPr>
                <w:b w:val="0"/>
                <w:bCs w:val="0"/>
                <w:lang w:eastAsia="en-GB"/>
              </w:rPr>
              <w:t>District</w:t>
            </w:r>
            <w:r w:rsidR="005E38A2" w:rsidRPr="007C69EA">
              <w:rPr>
                <w:b w:val="0"/>
                <w:bCs w:val="0"/>
                <w:lang w:eastAsia="en-GB"/>
              </w:rPr>
              <w:t xml:space="preserve"> </w:t>
            </w:r>
            <w:r w:rsidRPr="007C69EA">
              <w:rPr>
                <w:b w:val="0"/>
                <w:bCs w:val="0"/>
                <w:lang w:eastAsia="en-GB"/>
              </w:rPr>
              <w:t xml:space="preserve">may choose to raise </w:t>
            </w:r>
            <w:r w:rsidR="00114C15" w:rsidRPr="007C69EA">
              <w:rPr>
                <w:b w:val="0"/>
                <w:bCs w:val="0"/>
                <w:lang w:eastAsia="en-GB"/>
              </w:rPr>
              <w:t xml:space="preserve">as a monitoring observation </w:t>
            </w:r>
            <w:r w:rsidRPr="007C69EA">
              <w:rPr>
                <w:b w:val="0"/>
                <w:bCs w:val="0"/>
                <w:lang w:eastAsia="en-GB"/>
              </w:rPr>
              <w:t xml:space="preserve">to check </w:t>
            </w:r>
            <w:r w:rsidR="00114C15" w:rsidRPr="007C69EA">
              <w:rPr>
                <w:b w:val="0"/>
                <w:bCs w:val="0"/>
                <w:lang w:eastAsia="en-GB"/>
              </w:rPr>
              <w:t>the site is</w:t>
            </w:r>
            <w:r w:rsidRPr="007C69EA">
              <w:rPr>
                <w:b w:val="0"/>
                <w:bCs w:val="0"/>
                <w:lang w:eastAsia="en-GB"/>
              </w:rPr>
              <w:t xml:space="preserve"> following recommended </w:t>
            </w:r>
            <w:r w:rsidR="00114C15" w:rsidRPr="007C69EA">
              <w:rPr>
                <w:b w:val="0"/>
                <w:bCs w:val="0"/>
                <w:lang w:eastAsia="en-GB"/>
              </w:rPr>
              <w:t xml:space="preserve">dose interval </w:t>
            </w:r>
            <w:r w:rsidRPr="007C69EA">
              <w:rPr>
                <w:b w:val="0"/>
                <w:bCs w:val="0"/>
                <w:lang w:eastAsia="en-GB"/>
              </w:rPr>
              <w:t>process</w:t>
            </w:r>
            <w:r w:rsidR="00114C15" w:rsidRPr="007C69EA">
              <w:rPr>
                <w:b w:val="0"/>
                <w:bCs w:val="0"/>
                <w:lang w:eastAsia="en-GB"/>
              </w:rPr>
              <w:t xml:space="preserve"> and practice</w:t>
            </w:r>
            <w:r w:rsidRPr="007C69EA">
              <w:rPr>
                <w:b w:val="0"/>
                <w:bCs w:val="0"/>
                <w:lang w:eastAsia="en-GB"/>
              </w:rPr>
              <w:t>.</w:t>
            </w:r>
          </w:p>
        </w:tc>
      </w:tr>
    </w:tbl>
    <w:p w14:paraId="6B26B812" w14:textId="0F91C19A" w:rsidR="00F762AE" w:rsidRDefault="00F762AE">
      <w:pPr>
        <w:spacing w:before="0" w:after="160" w:line="2" w:lineRule="auto"/>
      </w:pPr>
    </w:p>
    <w:tbl>
      <w:tblPr>
        <w:tblStyle w:val="Ministrytable1"/>
        <w:tblW w:w="5014" w:type="pct"/>
        <w:tblLook w:val="04A0" w:firstRow="1" w:lastRow="0" w:firstColumn="1" w:lastColumn="0" w:noHBand="0" w:noVBand="1"/>
      </w:tblPr>
      <w:tblGrid>
        <w:gridCol w:w="9041"/>
      </w:tblGrid>
      <w:tr w:rsidR="009055C5" w:rsidRPr="00966B53" w14:paraId="3300FFF6" w14:textId="77777777" w:rsidTr="58650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F8B6DD2" w14:textId="26708327" w:rsidR="009055C5" w:rsidRPr="00966B53" w:rsidRDefault="009055C5" w:rsidP="001D48F8">
            <w:pPr>
              <w:rPr>
                <w:lang w:eastAsia="en-GB"/>
              </w:rPr>
            </w:pPr>
            <w:bookmarkStart w:id="6" w:name="_Hlk100040121"/>
            <w:r w:rsidRPr="0062426E">
              <w:rPr>
                <w:sz w:val="22"/>
                <w:szCs w:val="22"/>
                <w:lang w:eastAsia="en-GB"/>
              </w:rPr>
              <w:lastRenderedPageBreak/>
              <w:t>Data Quality</w:t>
            </w:r>
          </w:p>
        </w:tc>
      </w:tr>
      <w:tr w:rsidR="009055C5" w:rsidRPr="00966B53" w14:paraId="623A8463" w14:textId="77777777" w:rsidTr="58650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69800A5" w14:textId="675414A3" w:rsidR="006E2437" w:rsidRDefault="006E2437" w:rsidP="009A5110">
            <w:r w:rsidRPr="006E2437">
              <w:rPr>
                <w:b w:val="0"/>
                <w:bCs w:val="0"/>
              </w:rPr>
              <w:t xml:space="preserve">Cases related to </w:t>
            </w:r>
            <w:r>
              <w:rPr>
                <w:b w:val="0"/>
                <w:bCs w:val="0"/>
              </w:rPr>
              <w:t>data quality errors</w:t>
            </w:r>
            <w:r w:rsidRPr="006E2437">
              <w:rPr>
                <w:b w:val="0"/>
                <w:bCs w:val="0"/>
              </w:rPr>
              <w:t xml:space="preserve"> are in the “</w:t>
            </w:r>
            <w:r>
              <w:rPr>
                <w:b w:val="0"/>
                <w:bCs w:val="0"/>
              </w:rPr>
              <w:t>data quality</w:t>
            </w:r>
            <w:r w:rsidR="00A37B95">
              <w:rPr>
                <w:b w:val="0"/>
                <w:bCs w:val="0"/>
              </w:rPr>
              <w:t xml:space="preserve"> failsafe</w:t>
            </w:r>
            <w:r w:rsidRPr="006E2437">
              <w:rPr>
                <w:b w:val="0"/>
                <w:bCs w:val="0"/>
              </w:rPr>
              <w:t xml:space="preserve">” </w:t>
            </w:r>
            <w:r w:rsidR="00A37B95">
              <w:rPr>
                <w:b w:val="0"/>
                <w:bCs w:val="0"/>
              </w:rPr>
              <w:t>sub-folder</w:t>
            </w:r>
            <w:r w:rsidRPr="006E2437">
              <w:rPr>
                <w:b w:val="0"/>
                <w:bCs w:val="0"/>
              </w:rPr>
              <w:t xml:space="preserve">. </w:t>
            </w:r>
          </w:p>
          <w:p w14:paraId="69C45AB3" w14:textId="1D796EAF" w:rsidR="009A5110" w:rsidRPr="006E2437" w:rsidRDefault="006E2437" w:rsidP="009A5110">
            <w:pPr>
              <w:rPr>
                <w:b w:val="0"/>
                <w:bCs w:val="0"/>
              </w:rPr>
            </w:pPr>
            <w:r>
              <w:rPr>
                <w:b w:val="0"/>
                <w:bCs w:val="0"/>
              </w:rPr>
              <w:t>This includes the following types of data quality:</w:t>
            </w:r>
          </w:p>
          <w:p w14:paraId="7F618F06" w14:textId="00CF2AF9" w:rsidR="009055C5" w:rsidRPr="005543E7" w:rsidRDefault="009055C5" w:rsidP="009A5110">
            <w:pPr>
              <w:pStyle w:val="ListParagraph"/>
              <w:numPr>
                <w:ilvl w:val="0"/>
                <w:numId w:val="27"/>
              </w:numPr>
            </w:pPr>
            <w:r w:rsidRPr="005543E7">
              <w:t>Batch vaccination type does not match the vaccine given</w:t>
            </w:r>
          </w:p>
          <w:p w14:paraId="26B04842" w14:textId="4FA10E88" w:rsidR="009A5110" w:rsidRPr="005543E7" w:rsidRDefault="00DA1455" w:rsidP="009A5110">
            <w:pPr>
              <w:pStyle w:val="ListParagraph"/>
              <w:numPr>
                <w:ilvl w:val="0"/>
                <w:numId w:val="27"/>
              </w:numPr>
            </w:pPr>
            <w:r w:rsidRPr="005543E7">
              <w:t>Invalid batch number</w:t>
            </w:r>
          </w:p>
          <w:p w14:paraId="5EE413F5" w14:textId="77777777" w:rsidR="00DA1455" w:rsidRPr="005543E7" w:rsidRDefault="00DA1455" w:rsidP="00DA1455">
            <w:pPr>
              <w:ind w:left="1434" w:hanging="357"/>
              <w:rPr>
                <w:b w:val="0"/>
                <w:bCs w:val="0"/>
              </w:rPr>
            </w:pPr>
            <w:r w:rsidRPr="005543E7">
              <w:rPr>
                <w:b w:val="0"/>
                <w:bCs w:val="0"/>
              </w:rPr>
              <w:t>Common items to look out for are:</w:t>
            </w:r>
          </w:p>
          <w:p w14:paraId="6EDE7824" w14:textId="77777777" w:rsidR="00DA1455" w:rsidRPr="00DA1455" w:rsidRDefault="00DA1455" w:rsidP="00DA1455">
            <w:pPr>
              <w:pStyle w:val="ListParagraph"/>
              <w:numPr>
                <w:ilvl w:val="1"/>
                <w:numId w:val="27"/>
              </w:numPr>
              <w:rPr>
                <w:b w:val="0"/>
                <w:bCs w:val="0"/>
              </w:rPr>
            </w:pPr>
            <w:r w:rsidRPr="00DA1455">
              <w:rPr>
                <w:b w:val="0"/>
                <w:bCs w:val="0"/>
              </w:rPr>
              <w:t>For Pfizer batch IDs with seven characters, the batch number should start with 1F, not IF (numeral one, not capital I)</w:t>
            </w:r>
          </w:p>
          <w:p w14:paraId="67B3EA9F" w14:textId="77777777" w:rsidR="00DA1455" w:rsidRPr="00DA1455" w:rsidRDefault="00DA1455" w:rsidP="00DA1455">
            <w:pPr>
              <w:pStyle w:val="ListParagraph"/>
              <w:numPr>
                <w:ilvl w:val="1"/>
                <w:numId w:val="27"/>
              </w:numPr>
              <w:rPr>
                <w:b w:val="0"/>
                <w:bCs w:val="0"/>
              </w:rPr>
            </w:pPr>
            <w:r w:rsidRPr="00DA1455">
              <w:rPr>
                <w:b w:val="0"/>
                <w:bCs w:val="0"/>
              </w:rPr>
              <w:t>Check zero’s (number 0) vs O’s (capital letter o)</w:t>
            </w:r>
          </w:p>
          <w:p w14:paraId="70B74BC6" w14:textId="3137D411" w:rsidR="00DA1455" w:rsidRPr="00DA1455" w:rsidRDefault="00DA1455" w:rsidP="00DA1455">
            <w:pPr>
              <w:pStyle w:val="ListParagraph"/>
              <w:numPr>
                <w:ilvl w:val="1"/>
                <w:numId w:val="27"/>
              </w:numPr>
              <w:rPr>
                <w:b w:val="0"/>
                <w:bCs w:val="0"/>
              </w:rPr>
            </w:pPr>
            <w:r w:rsidRPr="00DA1455">
              <w:rPr>
                <w:b w:val="0"/>
                <w:bCs w:val="0"/>
              </w:rPr>
              <w:t xml:space="preserve">Check one’s (number 1) vs I’s or l’s (capital letter </w:t>
            </w:r>
            <w:proofErr w:type="spellStart"/>
            <w:r w:rsidRPr="00DA1455">
              <w:rPr>
                <w:b w:val="0"/>
                <w:bCs w:val="0"/>
              </w:rPr>
              <w:t>i</w:t>
            </w:r>
            <w:proofErr w:type="spellEnd"/>
            <w:r w:rsidRPr="00DA1455">
              <w:rPr>
                <w:b w:val="0"/>
                <w:bCs w:val="0"/>
              </w:rPr>
              <w:t xml:space="preserve"> and lower-case L)</w:t>
            </w:r>
          </w:p>
          <w:p w14:paraId="48683EB5" w14:textId="4ACA8510" w:rsidR="009055C5" w:rsidRPr="0056218B" w:rsidRDefault="1B89D3F3" w:rsidP="00043745">
            <w:pPr>
              <w:pStyle w:val="ListParagraph"/>
              <w:numPr>
                <w:ilvl w:val="0"/>
                <w:numId w:val="27"/>
              </w:numPr>
            </w:pPr>
            <w:r>
              <w:t>Booster recorded as additional</w:t>
            </w:r>
            <w:r w:rsidR="5125EB10">
              <w:t xml:space="preserve"> dose</w:t>
            </w:r>
          </w:p>
        </w:tc>
      </w:tr>
      <w:tr w:rsidR="009055C5" w:rsidRPr="00966B53" w14:paraId="61F86C38" w14:textId="77777777" w:rsidTr="586503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9E2F3" w:themeFill="accent1" w:themeFillTint="33"/>
          </w:tcPr>
          <w:p w14:paraId="1AAB98C0" w14:textId="77777777" w:rsidR="006E2437" w:rsidRPr="00993ADB" w:rsidRDefault="006E2437" w:rsidP="006E2437">
            <w:pPr>
              <w:spacing w:before="0"/>
              <w:rPr>
                <w:lang w:eastAsia="en-GB"/>
              </w:rPr>
            </w:pPr>
            <w:r w:rsidRPr="00993ADB">
              <w:rPr>
                <w:lang w:eastAsia="en-GB"/>
              </w:rPr>
              <w:t xml:space="preserve">Actions (for records from 1 April 2022): </w:t>
            </w:r>
          </w:p>
          <w:p w14:paraId="440FB4BF" w14:textId="77777777" w:rsidR="006E2437" w:rsidRPr="00993ADB" w:rsidRDefault="006E2437" w:rsidP="006E2437">
            <w:pPr>
              <w:pStyle w:val="ListParagraph"/>
              <w:numPr>
                <w:ilvl w:val="0"/>
                <w:numId w:val="8"/>
              </w:numPr>
              <w:rPr>
                <w:b w:val="0"/>
                <w:bCs w:val="0"/>
                <w:lang w:eastAsia="en-GB"/>
              </w:rPr>
            </w:pPr>
            <w:r w:rsidRPr="00993ADB">
              <w:rPr>
                <w:b w:val="0"/>
                <w:bCs w:val="0"/>
                <w:lang w:eastAsia="en-GB"/>
              </w:rPr>
              <w:t>Check records</w:t>
            </w:r>
          </w:p>
          <w:p w14:paraId="2995E9AA" w14:textId="3B9DD853" w:rsidR="006E2437" w:rsidRPr="00993ADB" w:rsidRDefault="006E2437" w:rsidP="006E2437">
            <w:pPr>
              <w:pStyle w:val="ListParagraph"/>
              <w:numPr>
                <w:ilvl w:val="0"/>
                <w:numId w:val="8"/>
              </w:numPr>
              <w:rPr>
                <w:b w:val="0"/>
                <w:bCs w:val="0"/>
              </w:rPr>
            </w:pPr>
            <w:r w:rsidRPr="00993ADB">
              <w:rPr>
                <w:b w:val="0"/>
                <w:bCs w:val="0"/>
              </w:rPr>
              <w:t xml:space="preserve">Update verification and status in </w:t>
            </w:r>
            <w:r w:rsidR="00834199">
              <w:rPr>
                <w:b w:val="0"/>
                <w:bCs w:val="0"/>
              </w:rPr>
              <w:t>T</w:t>
            </w:r>
            <w:r w:rsidRPr="00993ADB">
              <w:rPr>
                <w:b w:val="0"/>
                <w:bCs w:val="0"/>
              </w:rPr>
              <w:t>eams excel sheet under the following columns:</w:t>
            </w:r>
          </w:p>
          <w:p w14:paraId="7731F645" w14:textId="77777777" w:rsidR="006E2437" w:rsidRPr="00993ADB" w:rsidRDefault="006E2437" w:rsidP="006E2437">
            <w:pPr>
              <w:pStyle w:val="ListParagraph"/>
              <w:numPr>
                <w:ilvl w:val="1"/>
                <w:numId w:val="8"/>
              </w:numPr>
              <w:rPr>
                <w:b w:val="0"/>
                <w:bCs w:val="0"/>
              </w:rPr>
            </w:pPr>
            <w:r w:rsidRPr="00993ADB">
              <w:rPr>
                <w:b w:val="0"/>
                <w:bCs w:val="0"/>
              </w:rPr>
              <w:t>Data quality error (Y/N/NA)</w:t>
            </w:r>
          </w:p>
          <w:p w14:paraId="52C1BB43" w14:textId="77777777" w:rsidR="006E2437" w:rsidRPr="00993ADB" w:rsidRDefault="006E2437" w:rsidP="006E2437">
            <w:pPr>
              <w:pStyle w:val="ListParagraph"/>
              <w:numPr>
                <w:ilvl w:val="1"/>
                <w:numId w:val="8"/>
              </w:numPr>
              <w:rPr>
                <w:b w:val="0"/>
                <w:bCs w:val="0"/>
              </w:rPr>
            </w:pPr>
            <w:r w:rsidRPr="00993ADB">
              <w:rPr>
                <w:b w:val="0"/>
                <w:bCs w:val="0"/>
              </w:rPr>
              <w:t>CIR helpdesk contacted (Y/N/NA)</w:t>
            </w:r>
          </w:p>
          <w:p w14:paraId="6D39DF77" w14:textId="77777777" w:rsidR="006E2437" w:rsidRPr="00993ADB" w:rsidRDefault="006E2437" w:rsidP="006E2437">
            <w:pPr>
              <w:pStyle w:val="ListParagraph"/>
              <w:numPr>
                <w:ilvl w:val="1"/>
                <w:numId w:val="8"/>
              </w:numPr>
              <w:rPr>
                <w:b w:val="0"/>
                <w:bCs w:val="0"/>
              </w:rPr>
            </w:pPr>
            <w:r w:rsidRPr="00993ADB">
              <w:rPr>
                <w:b w:val="0"/>
                <w:bCs w:val="0"/>
              </w:rPr>
              <w:t>Verified Incident (Y/N/NA)</w:t>
            </w:r>
          </w:p>
          <w:p w14:paraId="603EC82C" w14:textId="77777777" w:rsidR="006E2437" w:rsidRPr="00993ADB" w:rsidRDefault="006E2437" w:rsidP="006E2437">
            <w:pPr>
              <w:pStyle w:val="ListParagraph"/>
              <w:numPr>
                <w:ilvl w:val="1"/>
                <w:numId w:val="8"/>
              </w:numPr>
              <w:rPr>
                <w:b w:val="0"/>
                <w:bCs w:val="0"/>
              </w:rPr>
            </w:pPr>
            <w:r w:rsidRPr="00993ADB">
              <w:rPr>
                <w:b w:val="0"/>
                <w:bCs w:val="0"/>
              </w:rPr>
              <w:t>NIP incident notification form submitted (Yes/N/NA)</w:t>
            </w:r>
          </w:p>
          <w:p w14:paraId="63922835" w14:textId="77777777" w:rsidR="006E2437" w:rsidRPr="00993ADB" w:rsidRDefault="006E2437" w:rsidP="006E2437">
            <w:pPr>
              <w:pStyle w:val="ListParagraph"/>
              <w:numPr>
                <w:ilvl w:val="1"/>
                <w:numId w:val="8"/>
              </w:numPr>
              <w:rPr>
                <w:b w:val="0"/>
                <w:bCs w:val="0"/>
              </w:rPr>
            </w:pPr>
            <w:r w:rsidRPr="00993ADB">
              <w:rPr>
                <w:b w:val="0"/>
                <w:bCs w:val="0"/>
              </w:rPr>
              <w:t>Prescription (Y/N/NA)</w:t>
            </w:r>
          </w:p>
          <w:p w14:paraId="791D6C7E" w14:textId="1FA8AD86" w:rsidR="006E2437" w:rsidRPr="00993ADB" w:rsidRDefault="006E2437" w:rsidP="006E2437">
            <w:pPr>
              <w:pStyle w:val="ListParagraph"/>
              <w:numPr>
                <w:ilvl w:val="0"/>
                <w:numId w:val="8"/>
              </w:numPr>
              <w:rPr>
                <w:rStyle w:val="Hyperlink"/>
                <w:b w:val="0"/>
                <w:bCs w:val="0"/>
                <w:color w:val="auto"/>
                <w:u w:val="none"/>
                <w:lang w:eastAsia="en-GB"/>
              </w:rPr>
            </w:pPr>
            <w:r w:rsidRPr="00993ADB">
              <w:rPr>
                <w:b w:val="0"/>
                <w:bCs w:val="0"/>
                <w:lang w:eastAsia="en-GB"/>
              </w:rPr>
              <w:t xml:space="preserve">Provide information for changes required to </w:t>
            </w:r>
            <w:hyperlink r:id="rId20" w:history="1">
              <w:r w:rsidRPr="00993ADB">
                <w:rPr>
                  <w:rStyle w:val="Hyperlink"/>
                  <w:lang w:eastAsia="en-GB"/>
                </w:rPr>
                <w:t>help@c-19imms.min.health.nz</w:t>
              </w:r>
            </w:hyperlink>
            <w:r w:rsidRPr="00993ADB">
              <w:rPr>
                <w:rStyle w:val="Hyperlink"/>
                <w:lang w:eastAsia="en-GB"/>
              </w:rPr>
              <w:t>.</w:t>
            </w:r>
            <w:r w:rsidR="00B06A26">
              <w:rPr>
                <w:rStyle w:val="Hyperlink"/>
                <w:lang w:eastAsia="en-GB"/>
              </w:rPr>
              <w:t xml:space="preserve"> </w:t>
            </w:r>
          </w:p>
          <w:p w14:paraId="6696FA77" w14:textId="77777777" w:rsidR="00BD7D69" w:rsidRPr="006F558F" w:rsidRDefault="006E2437" w:rsidP="00BD7D69">
            <w:pPr>
              <w:pStyle w:val="ListParagraph"/>
              <w:numPr>
                <w:ilvl w:val="0"/>
                <w:numId w:val="8"/>
              </w:numPr>
              <w:rPr>
                <w:b w:val="0"/>
                <w:bCs w:val="0"/>
                <w:lang w:eastAsia="en-GB"/>
              </w:rPr>
            </w:pPr>
            <w:r w:rsidRPr="00993ADB">
              <w:rPr>
                <w:b w:val="0"/>
                <w:bCs w:val="0"/>
                <w:lang w:eastAsia="en-GB"/>
              </w:rPr>
              <w:t>Liaise with the relevant staff member(s) at the site(s) to alert them to errors and provide coaching to ensure correct data entry.</w:t>
            </w:r>
          </w:p>
          <w:p w14:paraId="79F5B39C" w14:textId="0B4F28EE" w:rsidR="00BD7D69" w:rsidRPr="006F558F" w:rsidRDefault="000679B8" w:rsidP="006F558F">
            <w:pPr>
              <w:pStyle w:val="ListParagraph"/>
              <w:numPr>
                <w:ilvl w:val="0"/>
                <w:numId w:val="0"/>
              </w:numPr>
              <w:rPr>
                <w:b w:val="0"/>
                <w:bCs w:val="0"/>
                <w:lang w:eastAsia="en-GB"/>
              </w:rPr>
            </w:pPr>
            <w:r w:rsidRPr="006F558F">
              <w:rPr>
                <w:lang w:eastAsia="en-GB"/>
              </w:rPr>
              <w:t>Note:</w:t>
            </w:r>
            <w:r>
              <w:rPr>
                <w:b w:val="0"/>
                <w:bCs w:val="0"/>
                <w:lang w:eastAsia="en-GB"/>
              </w:rPr>
              <w:t xml:space="preserve"> </w:t>
            </w:r>
            <w:r w:rsidRPr="006F558F">
              <w:rPr>
                <w:rStyle w:val="Hyperlink"/>
                <w:b w:val="0"/>
                <w:bCs w:val="0"/>
                <w:color w:val="auto"/>
                <w:u w:val="none"/>
                <w:lang w:eastAsia="en-GB"/>
              </w:rPr>
              <w:t xml:space="preserve">From 1 July 2022 onwards, the </w:t>
            </w:r>
            <w:r w:rsidR="008C0755" w:rsidRPr="008C0755">
              <w:rPr>
                <w:rStyle w:val="Hyperlink"/>
                <w:b w:val="0"/>
                <w:bCs w:val="0"/>
                <w:color w:val="auto"/>
                <w:u w:val="none"/>
                <w:lang w:eastAsia="en-GB"/>
              </w:rPr>
              <w:t>CIR</w:t>
            </w:r>
            <w:r w:rsidRPr="006F558F">
              <w:rPr>
                <w:rStyle w:val="Hyperlink"/>
                <w:b w:val="0"/>
                <w:bCs w:val="0"/>
                <w:color w:val="auto"/>
                <w:u w:val="none"/>
                <w:lang w:eastAsia="en-GB"/>
              </w:rPr>
              <w:t xml:space="preserve"> helpdesk will update invalid batch number and boosters recorded as an additional dose </w:t>
            </w:r>
            <w:r w:rsidRPr="006F558F">
              <w:rPr>
                <w:rStyle w:val="Hyperlink"/>
                <w:color w:val="auto"/>
                <w:u w:val="none"/>
                <w:lang w:eastAsia="en-GB"/>
              </w:rPr>
              <w:t>o</w:t>
            </w:r>
            <w:r w:rsidRPr="006F558F">
              <w:rPr>
                <w:rStyle w:val="Hyperlink"/>
                <w:color w:val="auto"/>
                <w:u w:val="none"/>
              </w:rPr>
              <w:t>n behalf of the</w:t>
            </w:r>
            <w:r w:rsidR="005E38A2" w:rsidRPr="006F558F">
              <w:rPr>
                <w:rStyle w:val="Hyperlink"/>
                <w:color w:val="auto"/>
                <w:u w:val="none"/>
              </w:rPr>
              <w:t xml:space="preserve"> locality</w:t>
            </w:r>
            <w:r w:rsidRPr="006F558F">
              <w:rPr>
                <w:rStyle w:val="Hyperlink"/>
                <w:color w:val="auto"/>
                <w:u w:val="none"/>
              </w:rPr>
              <w:t xml:space="preserve"> </w:t>
            </w:r>
            <w:r w:rsidRPr="006F558F">
              <w:rPr>
                <w:rStyle w:val="Hyperlink"/>
                <w:b w:val="0"/>
                <w:bCs w:val="0"/>
                <w:color w:val="auto"/>
                <w:u w:val="none"/>
                <w:lang w:eastAsia="en-GB"/>
              </w:rPr>
              <w:t xml:space="preserve">where the </w:t>
            </w:r>
            <w:r w:rsidR="005123A6" w:rsidRPr="006F558F">
              <w:rPr>
                <w:rStyle w:val="Hyperlink"/>
                <w:b w:val="0"/>
                <w:bCs w:val="0"/>
                <w:color w:val="auto"/>
                <w:u w:val="none"/>
                <w:lang w:eastAsia="en-GB"/>
              </w:rPr>
              <w:t xml:space="preserve">required </w:t>
            </w:r>
            <w:r w:rsidR="001D151E" w:rsidRPr="006F558F">
              <w:rPr>
                <w:rStyle w:val="Hyperlink"/>
                <w:b w:val="0"/>
                <w:bCs w:val="0"/>
                <w:color w:val="auto"/>
                <w:u w:val="none"/>
                <w:lang w:eastAsia="en-GB"/>
              </w:rPr>
              <w:t>change</w:t>
            </w:r>
            <w:r w:rsidRPr="006F558F">
              <w:rPr>
                <w:rStyle w:val="Hyperlink"/>
                <w:b w:val="0"/>
                <w:bCs w:val="0"/>
                <w:color w:val="auto"/>
                <w:u w:val="none"/>
                <w:lang w:eastAsia="en-GB"/>
              </w:rPr>
              <w:t xml:space="preserve"> meets the existing business rules</w:t>
            </w:r>
            <w:r w:rsidR="001D151E" w:rsidRPr="006F558F">
              <w:rPr>
                <w:rStyle w:val="Hyperlink"/>
                <w:b w:val="0"/>
                <w:bCs w:val="0"/>
                <w:color w:val="auto"/>
                <w:u w:val="none"/>
                <w:lang w:eastAsia="en-GB"/>
              </w:rPr>
              <w:t>.</w:t>
            </w:r>
            <w:r w:rsidR="001D151E" w:rsidRPr="006F558F">
              <w:rPr>
                <w:rStyle w:val="Hyperlink"/>
                <w:b w:val="0"/>
                <w:bCs w:val="0"/>
                <w:color w:val="auto"/>
                <w:lang w:eastAsia="en-GB"/>
              </w:rPr>
              <w:t xml:space="preserve"> </w:t>
            </w:r>
          </w:p>
        </w:tc>
      </w:tr>
      <w:tr w:rsidR="009055C5" w:rsidRPr="00966B53" w14:paraId="2F9CB33E" w14:textId="77777777" w:rsidTr="58650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E18FC87" w14:textId="78BE78A7" w:rsidR="00790AE6" w:rsidRPr="00966B53" w:rsidRDefault="006E2437" w:rsidP="00043745">
            <w:pPr>
              <w:rPr>
                <w:lang w:eastAsia="en-GB"/>
              </w:rPr>
            </w:pPr>
            <w:r w:rsidRPr="00993ADB">
              <w:rPr>
                <w:lang w:eastAsia="en-GB"/>
              </w:rPr>
              <w:t>Pre-existing records</w:t>
            </w:r>
            <w:r w:rsidRPr="00993ADB">
              <w:rPr>
                <w:b w:val="0"/>
                <w:bCs w:val="0"/>
                <w:lang w:eastAsia="en-GB"/>
              </w:rPr>
              <w:t xml:space="preserve"> (for records before 1 April 2022): A process to fix these records is in progress.</w:t>
            </w:r>
          </w:p>
        </w:tc>
      </w:tr>
      <w:bookmarkEnd w:id="6"/>
    </w:tbl>
    <w:p w14:paraId="59EBCC46" w14:textId="29EAAEC2" w:rsidR="006703C9" w:rsidRDefault="006703C9">
      <w:pPr>
        <w:spacing w:before="0" w:after="160" w:line="2" w:lineRule="auto"/>
      </w:pPr>
    </w:p>
    <w:p w14:paraId="2B3F0E50" w14:textId="77777777" w:rsidR="006703C9" w:rsidRDefault="006703C9">
      <w:pPr>
        <w:spacing w:before="0" w:after="160" w:line="2" w:lineRule="auto"/>
      </w:pPr>
      <w:r>
        <w:br w:type="page"/>
      </w:r>
    </w:p>
    <w:p w14:paraId="30F051E9" w14:textId="23A992C1" w:rsidR="00132768" w:rsidRDefault="003B3F84" w:rsidP="003B3F84">
      <w:pPr>
        <w:pStyle w:val="Heading1"/>
      </w:pPr>
      <w:bookmarkStart w:id="7" w:name="_Toc110249527"/>
      <w:r>
        <w:lastRenderedPageBreak/>
        <w:t xml:space="preserve">Appendix </w:t>
      </w:r>
      <w:r w:rsidR="00907E97">
        <w:t>A</w:t>
      </w:r>
      <w:bookmarkEnd w:id="7"/>
      <w:r w:rsidR="004D5995">
        <w:t xml:space="preserve"> </w:t>
      </w:r>
      <w:r w:rsidR="004D5995">
        <w:br/>
      </w:r>
      <w:r w:rsidR="004D5995" w:rsidRPr="004D5995">
        <w:rPr>
          <w:b w:val="0"/>
          <w:bCs/>
        </w:rPr>
        <w:t>Detecting Failsafe Settings</w:t>
      </w:r>
    </w:p>
    <w:p w14:paraId="6E25CB39" w14:textId="56347C72" w:rsidR="00592D39" w:rsidRDefault="00592D39" w:rsidP="006C7BD7">
      <w:pPr>
        <w:pStyle w:val="Heading3"/>
      </w:pPr>
      <w:r>
        <w:t xml:space="preserve">The detecting </w:t>
      </w:r>
      <w:r w:rsidR="00D01C27">
        <w:t>failsafe</w:t>
      </w:r>
      <w:r>
        <w:t xml:space="preserve"> are set to search for the incident</w:t>
      </w:r>
      <w:r w:rsidR="00D01C27">
        <w:t>s</w:t>
      </w:r>
      <w:r>
        <w:t xml:space="preserve"> below</w:t>
      </w:r>
      <w:r w:rsidR="00D01C27">
        <w:t>.</w:t>
      </w:r>
    </w:p>
    <w:p w14:paraId="5DF20970" w14:textId="6967986F" w:rsidR="003B3F84" w:rsidRPr="003B3F84" w:rsidRDefault="00592D39" w:rsidP="006C7BD7">
      <w:pPr>
        <w:pStyle w:val="Heading3"/>
      </w:pPr>
      <w:r>
        <w:t>U</w:t>
      </w:r>
      <w:r w:rsidR="003B3F84" w:rsidRPr="003B3F84">
        <w:t xml:space="preserve">nderage </w:t>
      </w:r>
      <w:r w:rsidR="00CC0276">
        <w:t>vaccination without a prescription</w:t>
      </w:r>
      <w:r w:rsidR="00CC0276" w:rsidRPr="003B3F84">
        <w:t xml:space="preserve"> </w:t>
      </w:r>
      <w:r w:rsidR="003B3F84" w:rsidRPr="003B3F84">
        <w:t>include:</w:t>
      </w:r>
    </w:p>
    <w:p w14:paraId="0787A1BC" w14:textId="0A47C9FE" w:rsidR="003B3F84" w:rsidRPr="003B3F84" w:rsidRDefault="003B3F84" w:rsidP="003B3F84">
      <w:pPr>
        <w:numPr>
          <w:ilvl w:val="0"/>
          <w:numId w:val="6"/>
        </w:numPr>
        <w:rPr>
          <w:b/>
          <w:bCs/>
          <w:lang w:val="en-NZ" w:eastAsia="en-GB"/>
        </w:rPr>
      </w:pPr>
      <w:r w:rsidRPr="003B3F84">
        <w:rPr>
          <w:lang w:val="en-NZ" w:eastAsia="en-GB"/>
        </w:rPr>
        <w:t>Any dose of a COVID-19 vaccine administered to a consumer under the age of 5 years</w:t>
      </w:r>
      <w:bookmarkStart w:id="8" w:name="_Ref100836874"/>
      <w:r w:rsidR="00CF4472">
        <w:rPr>
          <w:rStyle w:val="FootnoteReference"/>
          <w:lang w:val="en-NZ" w:eastAsia="en-GB"/>
        </w:rPr>
        <w:footnoteReference w:id="2"/>
      </w:r>
      <w:bookmarkEnd w:id="8"/>
      <w:r w:rsidRPr="003B3F84">
        <w:rPr>
          <w:lang w:val="en-NZ" w:eastAsia="en-GB"/>
        </w:rPr>
        <w:t xml:space="preserve"> </w:t>
      </w:r>
    </w:p>
    <w:p w14:paraId="79545248" w14:textId="10C8359E" w:rsidR="003B3F84" w:rsidRPr="003B3F84" w:rsidRDefault="003B3F84" w:rsidP="003B3F84">
      <w:pPr>
        <w:numPr>
          <w:ilvl w:val="0"/>
          <w:numId w:val="6"/>
        </w:numPr>
        <w:rPr>
          <w:b/>
          <w:bCs/>
          <w:lang w:val="en-NZ" w:eastAsia="en-GB"/>
        </w:rPr>
      </w:pPr>
      <w:r w:rsidRPr="003B3F84">
        <w:rPr>
          <w:lang w:val="en-NZ" w:eastAsia="en-GB"/>
        </w:rPr>
        <w:t>An AstraZeneca dose administered to a consumer under the age of 18 years</w:t>
      </w:r>
    </w:p>
    <w:p w14:paraId="6BB1D2AF" w14:textId="6BBD9D9A" w:rsidR="00EC4F72" w:rsidRPr="00EC4F72" w:rsidRDefault="003B3F84" w:rsidP="00EC4F72">
      <w:pPr>
        <w:numPr>
          <w:ilvl w:val="0"/>
          <w:numId w:val="6"/>
        </w:numPr>
        <w:rPr>
          <w:b/>
          <w:bCs/>
          <w:lang w:val="en-NZ" w:eastAsia="en-GB"/>
        </w:rPr>
      </w:pPr>
      <w:r w:rsidRPr="003B3F84">
        <w:rPr>
          <w:lang w:val="en-NZ" w:eastAsia="en-GB"/>
        </w:rPr>
        <w:t>A Novavax dose administered to a consumer under the age of 18 years</w:t>
      </w:r>
      <w:r w:rsidR="00EC4F72" w:rsidRPr="00EC4F72">
        <w:rPr>
          <w:lang w:val="en-NZ" w:eastAsia="en-GB"/>
        </w:rPr>
        <w:t xml:space="preserve"> </w:t>
      </w:r>
    </w:p>
    <w:p w14:paraId="32E57BB5" w14:textId="0335C245" w:rsidR="003B3F84" w:rsidRPr="006F558F" w:rsidRDefault="00EC4F72" w:rsidP="006F558F">
      <w:pPr>
        <w:numPr>
          <w:ilvl w:val="0"/>
          <w:numId w:val="6"/>
        </w:numPr>
        <w:rPr>
          <w:b/>
          <w:bCs/>
          <w:lang w:val="en-NZ" w:eastAsia="en-GB"/>
        </w:rPr>
      </w:pPr>
      <w:r w:rsidRPr="003B3F84">
        <w:rPr>
          <w:lang w:val="en-NZ" w:eastAsia="en-GB"/>
        </w:rPr>
        <w:t>A</w:t>
      </w:r>
      <w:r>
        <w:rPr>
          <w:lang w:val="en-NZ" w:eastAsia="en-GB"/>
        </w:rPr>
        <w:t>n adult Pfizer</w:t>
      </w:r>
      <w:r w:rsidRPr="003B3F84">
        <w:rPr>
          <w:lang w:val="en-NZ" w:eastAsia="en-GB"/>
        </w:rPr>
        <w:t xml:space="preserve"> booster dose administered to a consumer under the age of 16 years</w:t>
      </w:r>
    </w:p>
    <w:p w14:paraId="28C7A9CB" w14:textId="0E985C71" w:rsidR="003B3F84" w:rsidRPr="003B3F84" w:rsidRDefault="00426564" w:rsidP="006C7BD7">
      <w:pPr>
        <w:pStyle w:val="Heading3"/>
      </w:pPr>
      <w:r>
        <w:t>I</w:t>
      </w:r>
      <w:r w:rsidR="003B3F84" w:rsidRPr="003B3F84">
        <w:t>ncorrect vaccination:</w:t>
      </w:r>
    </w:p>
    <w:p w14:paraId="0EC99ED3" w14:textId="4AF33EB0" w:rsidR="003B3F84" w:rsidRPr="003B3F84" w:rsidRDefault="003B3F84" w:rsidP="003B3F84">
      <w:pPr>
        <w:numPr>
          <w:ilvl w:val="0"/>
          <w:numId w:val="17"/>
        </w:numPr>
        <w:rPr>
          <w:b/>
          <w:bCs/>
          <w:lang w:val="en-NZ" w:eastAsia="en-GB"/>
        </w:rPr>
      </w:pPr>
      <w:r w:rsidRPr="003B3F84">
        <w:rPr>
          <w:lang w:val="en-NZ" w:eastAsia="en-GB"/>
        </w:rPr>
        <w:t>An Adult Pfizer</w:t>
      </w:r>
      <w:r w:rsidR="0044073C">
        <w:rPr>
          <w:lang w:val="en-NZ" w:eastAsia="en-GB"/>
        </w:rPr>
        <w:t xml:space="preserve"> </w:t>
      </w:r>
      <w:r w:rsidRPr="003B3F84">
        <w:rPr>
          <w:lang w:val="en-NZ" w:eastAsia="en-GB"/>
        </w:rPr>
        <w:t>dose administered to a consumer aged 5-11 year</w:t>
      </w:r>
      <w:r w:rsidR="00DC1776">
        <w:rPr>
          <w:lang w:val="en-NZ" w:eastAsia="en-GB"/>
        </w:rPr>
        <w:t>s</w:t>
      </w:r>
      <w:r w:rsidR="005C6089">
        <w:rPr>
          <w:lang w:val="en-NZ" w:eastAsia="en-GB"/>
        </w:rPr>
        <w:fldChar w:fldCharType="begin"/>
      </w:r>
      <w:r w:rsidR="005C6089">
        <w:rPr>
          <w:lang w:val="en-NZ" w:eastAsia="en-GB"/>
        </w:rPr>
        <w:instrText xml:space="preserve"> NOTEREF _Ref100836874 \f \h </w:instrText>
      </w:r>
      <w:r w:rsidR="005C6089">
        <w:rPr>
          <w:lang w:val="en-NZ" w:eastAsia="en-GB"/>
        </w:rPr>
      </w:r>
      <w:r w:rsidR="005C6089">
        <w:rPr>
          <w:lang w:val="en-NZ" w:eastAsia="en-GB"/>
        </w:rPr>
        <w:fldChar w:fldCharType="separate"/>
      </w:r>
      <w:r w:rsidR="00F26FEF" w:rsidRPr="00F26FEF">
        <w:rPr>
          <w:rStyle w:val="FootnoteReference"/>
        </w:rPr>
        <w:t>1</w:t>
      </w:r>
      <w:r w:rsidR="005C6089">
        <w:rPr>
          <w:lang w:val="en-NZ" w:eastAsia="en-GB"/>
        </w:rPr>
        <w:fldChar w:fldCharType="end"/>
      </w:r>
      <w:r w:rsidR="00DC1776" w:rsidRPr="003B3F84">
        <w:rPr>
          <w:b/>
          <w:bCs/>
          <w:lang w:val="en-NZ" w:eastAsia="en-GB"/>
        </w:rPr>
        <w:t xml:space="preserve"> </w:t>
      </w:r>
    </w:p>
    <w:p w14:paraId="67DEC277" w14:textId="70B8B150" w:rsidR="003B3F84" w:rsidRPr="003B3F84" w:rsidRDefault="46E2FD15" w:rsidP="003B3F84">
      <w:pPr>
        <w:numPr>
          <w:ilvl w:val="0"/>
          <w:numId w:val="17"/>
        </w:numPr>
        <w:rPr>
          <w:b/>
          <w:bCs/>
          <w:lang w:val="en-NZ" w:eastAsia="en-GB"/>
        </w:rPr>
      </w:pPr>
      <w:r w:rsidRPr="586503E9">
        <w:rPr>
          <w:lang w:val="en-NZ" w:eastAsia="en-GB"/>
        </w:rPr>
        <w:t>A Paediatric Pfizer dose administered to a consumer aged 12 years and above</w:t>
      </w:r>
      <w:r w:rsidR="0044073C">
        <w:rPr>
          <w:lang w:val="en-NZ" w:eastAsia="en-GB"/>
        </w:rPr>
        <w:t>.</w:t>
      </w:r>
      <w:r w:rsidRPr="586503E9">
        <w:rPr>
          <w:lang w:val="en-NZ" w:eastAsia="en-GB"/>
        </w:rPr>
        <w:t xml:space="preserve"> Except: first dose Paediatric Pfizer then Paediatric Pfizer second dose if the consumer turns 12 during the interval.</w:t>
      </w:r>
    </w:p>
    <w:p w14:paraId="582E4F8D" w14:textId="06BAAF40" w:rsidR="00750507" w:rsidRPr="002A696D" w:rsidRDefault="003B3F84" w:rsidP="003B3F84">
      <w:pPr>
        <w:numPr>
          <w:ilvl w:val="0"/>
          <w:numId w:val="17"/>
        </w:numPr>
        <w:rPr>
          <w:b/>
          <w:bCs/>
          <w:lang w:val="en-NZ" w:eastAsia="en-GB"/>
        </w:rPr>
      </w:pPr>
      <w:bookmarkStart w:id="10" w:name="_Hlk100839781"/>
      <w:r w:rsidRPr="003B3F84">
        <w:rPr>
          <w:lang w:val="en-NZ" w:eastAsia="en-GB"/>
        </w:rPr>
        <w:t xml:space="preserve">A dose of </w:t>
      </w:r>
      <w:r w:rsidR="00002021">
        <w:rPr>
          <w:lang w:val="en-NZ" w:eastAsia="en-GB"/>
        </w:rPr>
        <w:t xml:space="preserve">an incorrect </w:t>
      </w:r>
      <w:r w:rsidR="00997A98" w:rsidRPr="003B3F84">
        <w:rPr>
          <w:lang w:val="en-NZ" w:eastAsia="en-GB"/>
        </w:rPr>
        <w:t>vaccine administered</w:t>
      </w:r>
      <w:r w:rsidRPr="003B3F84">
        <w:rPr>
          <w:lang w:val="en-NZ" w:eastAsia="en-GB"/>
        </w:rPr>
        <w:t xml:space="preserve"> to a consumer (eg, consumer </w:t>
      </w:r>
      <w:r w:rsidR="00997A98">
        <w:rPr>
          <w:lang w:val="en-NZ" w:eastAsia="en-GB"/>
        </w:rPr>
        <w:t>wanted</w:t>
      </w:r>
      <w:r w:rsidRPr="003B3F84">
        <w:rPr>
          <w:lang w:val="en-NZ" w:eastAsia="en-GB"/>
        </w:rPr>
        <w:t xml:space="preserve"> the AstraZeneca vaccine, however, was administered a dose of the Pfizer vaccine)</w:t>
      </w:r>
      <w:bookmarkEnd w:id="10"/>
      <w:r w:rsidR="00DC1776">
        <w:rPr>
          <w:lang w:val="en-NZ" w:eastAsia="en-GB"/>
        </w:rPr>
        <w:fldChar w:fldCharType="begin"/>
      </w:r>
      <w:r w:rsidR="00DC1776">
        <w:rPr>
          <w:lang w:val="en-NZ" w:eastAsia="en-GB"/>
        </w:rPr>
        <w:instrText xml:space="preserve"> NOTEREF _Ref100836874 \f \h </w:instrText>
      </w:r>
      <w:r w:rsidR="00DC1776">
        <w:rPr>
          <w:lang w:val="en-NZ" w:eastAsia="en-GB"/>
        </w:rPr>
      </w:r>
      <w:r w:rsidR="00DC1776">
        <w:rPr>
          <w:lang w:val="en-NZ" w:eastAsia="en-GB"/>
        </w:rPr>
        <w:fldChar w:fldCharType="separate"/>
      </w:r>
      <w:r w:rsidR="00F26FEF" w:rsidRPr="00F26FEF">
        <w:rPr>
          <w:rStyle w:val="FootnoteReference"/>
        </w:rPr>
        <w:t>1</w:t>
      </w:r>
      <w:r w:rsidR="00DC1776">
        <w:rPr>
          <w:lang w:val="en-NZ" w:eastAsia="en-GB"/>
        </w:rPr>
        <w:fldChar w:fldCharType="end"/>
      </w:r>
    </w:p>
    <w:p w14:paraId="266A79AD" w14:textId="1E8A3DC0" w:rsidR="006C7BD7" w:rsidRPr="006C7BD7" w:rsidRDefault="004E21A5" w:rsidP="00750507">
      <w:pPr>
        <w:pStyle w:val="Heading3"/>
        <w:rPr>
          <w:lang w:val="en-NZ"/>
        </w:rPr>
      </w:pPr>
      <w:r w:rsidRPr="004E21A5">
        <w:rPr>
          <w:lang w:val="en-NZ"/>
        </w:rPr>
        <w:t xml:space="preserve">Medsafe approved use and/or Programme recommended </w:t>
      </w:r>
      <w:r>
        <w:rPr>
          <w:lang w:val="en-NZ"/>
        </w:rPr>
        <w:t>e</w:t>
      </w:r>
      <w:r w:rsidR="006C7BD7" w:rsidRPr="006C7BD7">
        <w:rPr>
          <w:lang w:val="en-NZ"/>
        </w:rPr>
        <w:t xml:space="preserve">arly doses </w:t>
      </w:r>
      <w:r w:rsidR="00CC0276" w:rsidRPr="00CC0276">
        <w:rPr>
          <w:lang w:val="en-NZ"/>
        </w:rPr>
        <w:t xml:space="preserve">without a prescription </w:t>
      </w:r>
      <w:r w:rsidR="006C7BD7" w:rsidRPr="006C7BD7">
        <w:rPr>
          <w:lang w:val="en-NZ"/>
        </w:rPr>
        <w:t>include:</w:t>
      </w:r>
    </w:p>
    <w:p w14:paraId="0E7C3B05" w14:textId="695D51C6" w:rsidR="00750507" w:rsidRPr="00750507" w:rsidRDefault="006C7BD7" w:rsidP="006C7BD7">
      <w:pPr>
        <w:numPr>
          <w:ilvl w:val="0"/>
          <w:numId w:val="28"/>
        </w:numPr>
        <w:rPr>
          <w:b/>
          <w:bCs/>
          <w:lang w:val="en-NZ" w:eastAsia="en-GB"/>
        </w:rPr>
      </w:pPr>
      <w:r w:rsidRPr="006C7BD7">
        <w:rPr>
          <w:lang w:val="en-NZ" w:eastAsia="en-GB"/>
        </w:rPr>
        <w:t>For consumers aged 18 years and over a</w:t>
      </w:r>
      <w:r w:rsidR="00EC4F72">
        <w:rPr>
          <w:lang w:val="en-NZ" w:eastAsia="en-GB"/>
        </w:rPr>
        <w:t>n adult Pfizer</w:t>
      </w:r>
      <w:r w:rsidRPr="006C7BD7">
        <w:rPr>
          <w:lang w:val="en-NZ" w:eastAsia="en-GB"/>
        </w:rPr>
        <w:t xml:space="preserve"> booster dose administered earlier than 3 months (</w:t>
      </w:r>
      <w:r w:rsidR="00B9686F">
        <w:rPr>
          <w:lang w:val="en-NZ" w:eastAsia="en-GB"/>
        </w:rPr>
        <w:t xml:space="preserve">when administered </w:t>
      </w:r>
      <w:r w:rsidR="008F0568">
        <w:rPr>
          <w:lang w:val="en-NZ" w:eastAsia="en-GB"/>
        </w:rPr>
        <w:t>≤</w:t>
      </w:r>
      <w:r w:rsidR="00B9686F">
        <w:rPr>
          <w:lang w:val="en-NZ" w:eastAsia="en-GB"/>
        </w:rPr>
        <w:t>87 day</w:t>
      </w:r>
      <w:r w:rsidR="003D523A">
        <w:rPr>
          <w:lang w:val="en-NZ" w:eastAsia="en-GB"/>
        </w:rPr>
        <w:t>s</w:t>
      </w:r>
      <w:r w:rsidR="00C35BB5">
        <w:rPr>
          <w:lang w:val="en-NZ" w:eastAsia="en-GB"/>
        </w:rPr>
        <w:t>, this</w:t>
      </w:r>
      <w:r w:rsidRPr="006C7BD7">
        <w:rPr>
          <w:lang w:val="en-NZ" w:eastAsia="en-GB"/>
        </w:rPr>
        <w:t xml:space="preserve"> </w:t>
      </w:r>
      <w:r w:rsidR="00EC4F72">
        <w:rPr>
          <w:lang w:val="en-NZ" w:eastAsia="en-GB"/>
        </w:rPr>
        <w:t>requires</w:t>
      </w:r>
      <w:r w:rsidR="00C35BB5">
        <w:rPr>
          <w:lang w:val="en-NZ" w:eastAsia="en-GB"/>
        </w:rPr>
        <w:t xml:space="preserve"> an </w:t>
      </w:r>
      <w:r w:rsidR="00EC4F72">
        <w:rPr>
          <w:lang w:val="en-NZ" w:eastAsia="en-GB"/>
        </w:rPr>
        <w:t>investigation</w:t>
      </w:r>
      <w:r w:rsidRPr="006C7BD7">
        <w:rPr>
          <w:lang w:val="en-NZ" w:eastAsia="en-GB"/>
        </w:rPr>
        <w:t>).</w:t>
      </w:r>
    </w:p>
    <w:p w14:paraId="5DCAB3D1" w14:textId="3C1717B6" w:rsidR="006C7BD7" w:rsidRPr="00EC4F72" w:rsidRDefault="006C7BD7" w:rsidP="006C7BD7">
      <w:pPr>
        <w:numPr>
          <w:ilvl w:val="0"/>
          <w:numId w:val="28"/>
        </w:numPr>
        <w:rPr>
          <w:b/>
          <w:bCs/>
          <w:lang w:val="en-NZ" w:eastAsia="en-GB"/>
        </w:rPr>
      </w:pPr>
      <w:r w:rsidRPr="006C7BD7">
        <w:rPr>
          <w:lang w:val="en-NZ" w:eastAsia="en-GB"/>
        </w:rPr>
        <w:t>For consumers aged 16-17</w:t>
      </w:r>
      <w:r w:rsidR="005123A6">
        <w:rPr>
          <w:lang w:val="en-NZ" w:eastAsia="en-GB"/>
        </w:rPr>
        <w:t xml:space="preserve"> </w:t>
      </w:r>
      <w:r w:rsidRPr="006C7BD7">
        <w:rPr>
          <w:lang w:val="en-NZ" w:eastAsia="en-GB"/>
        </w:rPr>
        <w:t>years a</w:t>
      </w:r>
      <w:r w:rsidR="00EC4F72">
        <w:rPr>
          <w:lang w:val="en-NZ" w:eastAsia="en-GB"/>
        </w:rPr>
        <w:t>n adult Pfizer</w:t>
      </w:r>
      <w:r w:rsidRPr="006C7BD7">
        <w:rPr>
          <w:lang w:val="en-NZ" w:eastAsia="en-GB"/>
        </w:rPr>
        <w:t xml:space="preserve"> booster dose administered earlier than 6 months</w:t>
      </w:r>
      <w:r w:rsidR="003D523A">
        <w:rPr>
          <w:lang w:val="en-NZ" w:eastAsia="en-GB"/>
        </w:rPr>
        <w:t xml:space="preserve"> (when administered</w:t>
      </w:r>
      <w:r w:rsidR="008F0568">
        <w:rPr>
          <w:lang w:val="en-NZ" w:eastAsia="en-GB"/>
        </w:rPr>
        <w:t xml:space="preserve"> ≤179</w:t>
      </w:r>
      <w:r w:rsidR="005D0C36">
        <w:rPr>
          <w:lang w:val="en-NZ" w:eastAsia="en-GB"/>
        </w:rPr>
        <w:t xml:space="preserve"> days</w:t>
      </w:r>
      <w:r w:rsidR="00647E3F">
        <w:rPr>
          <w:lang w:val="en-NZ" w:eastAsia="en-GB"/>
        </w:rPr>
        <w:t>)</w:t>
      </w:r>
      <w:r w:rsidR="005D0C36">
        <w:rPr>
          <w:lang w:val="en-NZ" w:eastAsia="en-GB"/>
        </w:rPr>
        <w:t>.</w:t>
      </w:r>
    </w:p>
    <w:p w14:paraId="52408E6E" w14:textId="5CF56CF1" w:rsidR="00EC4F72" w:rsidRPr="006C7BD7" w:rsidRDefault="00EC4F72" w:rsidP="006C7BD7">
      <w:pPr>
        <w:numPr>
          <w:ilvl w:val="0"/>
          <w:numId w:val="28"/>
        </w:numPr>
        <w:rPr>
          <w:b/>
          <w:bCs/>
          <w:lang w:val="en-NZ" w:eastAsia="en-GB"/>
        </w:rPr>
      </w:pPr>
      <w:r>
        <w:rPr>
          <w:lang w:val="en-NZ" w:eastAsia="en-GB"/>
        </w:rPr>
        <w:t>For consumers aged 18 years and older a Novavax booster dose administered earlier than 6 months</w:t>
      </w:r>
      <w:r w:rsidR="00647E3F">
        <w:rPr>
          <w:lang w:val="en-NZ" w:eastAsia="en-GB"/>
        </w:rPr>
        <w:t xml:space="preserve"> (</w:t>
      </w:r>
      <w:r w:rsidR="00D5518F">
        <w:rPr>
          <w:lang w:val="en-NZ" w:eastAsia="en-GB"/>
        </w:rPr>
        <w:t>when administered ≤179</w:t>
      </w:r>
      <w:r w:rsidR="005D0C36">
        <w:rPr>
          <w:lang w:val="en-NZ" w:eastAsia="en-GB"/>
        </w:rPr>
        <w:t xml:space="preserve"> days</w:t>
      </w:r>
      <w:r w:rsidR="00D5518F">
        <w:rPr>
          <w:lang w:val="en-NZ" w:eastAsia="en-GB"/>
        </w:rPr>
        <w:t>)</w:t>
      </w:r>
      <w:r w:rsidR="005D0C36">
        <w:rPr>
          <w:lang w:val="en-NZ" w:eastAsia="en-GB"/>
        </w:rPr>
        <w:t>.</w:t>
      </w:r>
    </w:p>
    <w:p w14:paraId="44614E30" w14:textId="4E6152DC" w:rsidR="006C7BD7" w:rsidRPr="006C7BD7" w:rsidRDefault="006C7BD7" w:rsidP="006C7BD7">
      <w:pPr>
        <w:numPr>
          <w:ilvl w:val="0"/>
          <w:numId w:val="28"/>
        </w:numPr>
        <w:rPr>
          <w:b/>
          <w:bCs/>
          <w:lang w:val="en-NZ" w:eastAsia="en-GB"/>
        </w:rPr>
      </w:pPr>
      <w:r w:rsidRPr="006C7BD7">
        <w:rPr>
          <w:lang w:val="en-NZ" w:eastAsia="en-GB"/>
        </w:rPr>
        <w:t xml:space="preserve">A second primary dose of the Paediatric Pfizer vaccine administered </w:t>
      </w:r>
      <w:r w:rsidR="00AB079F">
        <w:rPr>
          <w:lang w:val="en-NZ" w:eastAsia="en-GB"/>
        </w:rPr>
        <w:t>≤</w:t>
      </w:r>
      <w:r w:rsidRPr="006C7BD7">
        <w:rPr>
          <w:lang w:val="en-NZ" w:eastAsia="en-GB"/>
        </w:rPr>
        <w:t>21 days</w:t>
      </w:r>
    </w:p>
    <w:p w14:paraId="64016B8A" w14:textId="06B49EB0" w:rsidR="006C7BD7" w:rsidRPr="006C7BD7" w:rsidRDefault="006C7BD7" w:rsidP="006C7BD7">
      <w:pPr>
        <w:numPr>
          <w:ilvl w:val="0"/>
          <w:numId w:val="28"/>
        </w:numPr>
        <w:rPr>
          <w:b/>
          <w:bCs/>
          <w:lang w:val="en-NZ" w:eastAsia="en-GB"/>
        </w:rPr>
      </w:pPr>
      <w:r w:rsidRPr="006C7BD7">
        <w:rPr>
          <w:lang w:val="en-NZ" w:eastAsia="en-GB"/>
        </w:rPr>
        <w:t xml:space="preserve">A second primary dose of the Pfizer vaccine (12 years and older formulation) administered </w:t>
      </w:r>
      <w:r w:rsidR="00AB079F">
        <w:rPr>
          <w:lang w:val="en-NZ" w:eastAsia="en-GB"/>
        </w:rPr>
        <w:t>≤</w:t>
      </w:r>
      <w:r w:rsidRPr="006C7BD7">
        <w:rPr>
          <w:lang w:val="en-NZ" w:eastAsia="en-GB"/>
        </w:rPr>
        <w:t>21 days</w:t>
      </w:r>
    </w:p>
    <w:p w14:paraId="258780C0" w14:textId="42D8F1B7" w:rsidR="006C7BD7" w:rsidRPr="006C7BD7" w:rsidRDefault="006C7BD7" w:rsidP="006C7BD7">
      <w:pPr>
        <w:numPr>
          <w:ilvl w:val="0"/>
          <w:numId w:val="28"/>
        </w:numPr>
        <w:rPr>
          <w:b/>
          <w:bCs/>
          <w:lang w:val="en-NZ" w:eastAsia="en-GB"/>
        </w:rPr>
      </w:pPr>
      <w:r w:rsidRPr="006C7BD7">
        <w:rPr>
          <w:lang w:val="en-NZ" w:eastAsia="en-GB"/>
        </w:rPr>
        <w:t xml:space="preserve">A third primary dose administered </w:t>
      </w:r>
      <w:r w:rsidR="00FE493C">
        <w:rPr>
          <w:lang w:val="en-NZ" w:eastAsia="en-GB"/>
        </w:rPr>
        <w:t>≤</w:t>
      </w:r>
      <w:r w:rsidRPr="006C7BD7">
        <w:rPr>
          <w:lang w:val="en-NZ" w:eastAsia="en-GB"/>
        </w:rPr>
        <w:t>28 days after second primary dose</w:t>
      </w:r>
    </w:p>
    <w:p w14:paraId="27B8EEDC" w14:textId="68D3BD49" w:rsidR="00750507" w:rsidRDefault="006C7BD7" w:rsidP="006C7BD7">
      <w:pPr>
        <w:numPr>
          <w:ilvl w:val="0"/>
          <w:numId w:val="28"/>
        </w:numPr>
        <w:rPr>
          <w:b/>
          <w:bCs/>
          <w:lang w:val="en-NZ" w:eastAsia="en-GB"/>
        </w:rPr>
      </w:pPr>
      <w:r w:rsidRPr="006C7BD7">
        <w:rPr>
          <w:lang w:val="en-NZ" w:eastAsia="en-GB"/>
        </w:rPr>
        <w:t xml:space="preserve">A second primary dose of the AstraZeneca vaccine administered </w:t>
      </w:r>
      <w:r w:rsidR="006E7EE4">
        <w:rPr>
          <w:lang w:val="en-NZ" w:eastAsia="en-GB"/>
        </w:rPr>
        <w:t>≤</w:t>
      </w:r>
      <w:r w:rsidRPr="006C7BD7">
        <w:rPr>
          <w:lang w:val="en-NZ" w:eastAsia="en-GB"/>
        </w:rPr>
        <w:t>28 days</w:t>
      </w:r>
    </w:p>
    <w:p w14:paraId="21498463" w14:textId="1E118DE3" w:rsidR="001A6884" w:rsidRDefault="006C7BD7" w:rsidP="00223EFB">
      <w:pPr>
        <w:numPr>
          <w:ilvl w:val="0"/>
          <w:numId w:val="28"/>
        </w:numPr>
        <w:rPr>
          <w:lang w:eastAsia="en-GB"/>
        </w:rPr>
      </w:pPr>
      <w:r w:rsidRPr="006C7BD7">
        <w:rPr>
          <w:lang w:eastAsia="en-GB"/>
        </w:rPr>
        <w:t xml:space="preserve">A second primary dose of the Novavax vaccine administered </w:t>
      </w:r>
      <w:r w:rsidR="006E7EE4">
        <w:rPr>
          <w:lang w:eastAsia="en-GB"/>
        </w:rPr>
        <w:t>≤</w:t>
      </w:r>
      <w:r w:rsidRPr="006C7BD7">
        <w:rPr>
          <w:lang w:eastAsia="en-GB"/>
        </w:rPr>
        <w:t>21 days</w:t>
      </w:r>
      <w:r w:rsidR="001A6884">
        <w:rPr>
          <w:lang w:eastAsia="en-GB"/>
        </w:rPr>
        <w:br w:type="page"/>
      </w:r>
    </w:p>
    <w:p w14:paraId="1E2873AF" w14:textId="2FA2C446" w:rsidR="00372021" w:rsidRPr="00F10441" w:rsidRDefault="00F61BE8" w:rsidP="004D5995">
      <w:pPr>
        <w:pStyle w:val="Heading1"/>
        <w:rPr>
          <w:lang w:eastAsia="en-NZ"/>
        </w:rPr>
      </w:pPr>
      <w:bookmarkStart w:id="11" w:name="_Toc110249528"/>
      <w:r>
        <w:rPr>
          <w:lang w:eastAsia="en-NZ"/>
        </w:rPr>
        <w:lastRenderedPageBreak/>
        <w:t>Appendix B</w:t>
      </w:r>
      <w:bookmarkStart w:id="12" w:name="_Toc110249529"/>
      <w:bookmarkEnd w:id="11"/>
      <w:r w:rsidR="004D5995">
        <w:rPr>
          <w:lang w:eastAsia="en-NZ"/>
        </w:rPr>
        <w:br/>
      </w:r>
      <w:r w:rsidR="00372021" w:rsidRPr="004D5995">
        <w:rPr>
          <w:b w:val="0"/>
          <w:bCs/>
        </w:rPr>
        <w:t>Detecting Failsafe FAQs</w:t>
      </w:r>
      <w:bookmarkEnd w:id="12"/>
    </w:p>
    <w:p w14:paraId="10EAD060" w14:textId="408754B8" w:rsidR="00372021" w:rsidRPr="00642A7A" w:rsidRDefault="005D717B" w:rsidP="00372021">
      <w:r>
        <w:t>The d</w:t>
      </w:r>
      <w:r w:rsidR="00372021" w:rsidRPr="00642A7A">
        <w:t xml:space="preserve">etecting </w:t>
      </w:r>
      <w:r w:rsidRPr="00642A7A">
        <w:t>failsafe</w:t>
      </w:r>
      <w:r w:rsidR="00372021" w:rsidRPr="00642A7A">
        <w:t xml:space="preserve"> are uploaded weekly on Thursdays via the COVID Household Contact and Cohort Information (CHCCI) Microsoft Teams channel. </w:t>
      </w:r>
    </w:p>
    <w:p w14:paraId="1B48B783" w14:textId="2EB57968" w:rsidR="00372021" w:rsidRPr="00642A7A" w:rsidRDefault="00372021" w:rsidP="00372021">
      <w:r w:rsidRPr="00642A7A">
        <w:t xml:space="preserve">Each </w:t>
      </w:r>
      <w:r w:rsidR="009B48FE">
        <w:t>District</w:t>
      </w:r>
      <w:r w:rsidRPr="00642A7A">
        <w:t xml:space="preserve"> will have a nominated contact</w:t>
      </w:r>
      <w:r>
        <w:t xml:space="preserve"> or role,</w:t>
      </w:r>
      <w:r w:rsidRPr="00642A7A">
        <w:t xml:space="preserve"> </w:t>
      </w:r>
      <w:r>
        <w:t>they will be</w:t>
      </w:r>
      <w:r w:rsidRPr="00642A7A">
        <w:t xml:space="preserve"> responsible for distributing the data to providers to verify any incidents and correct data quality errors. This is done by using the columns in the failsafe excel spreadsheet (as outlined in the </w:t>
      </w:r>
      <w:r>
        <w:t>‘</w:t>
      </w:r>
      <w:r w:rsidRPr="00642A7A">
        <w:t>COVID-19 Detecting failsafe reporting</w:t>
      </w:r>
      <w:r>
        <w:t>’</w:t>
      </w:r>
      <w:r w:rsidRPr="00642A7A">
        <w:t xml:space="preserve"> document). </w:t>
      </w:r>
    </w:p>
    <w:p w14:paraId="4FB4DEC0" w14:textId="3984792D" w:rsidR="00372021" w:rsidRPr="00642A7A" w:rsidRDefault="00372021" w:rsidP="00372021">
      <w:r w:rsidRPr="00642A7A">
        <w:t>The</w:t>
      </w:r>
      <w:r w:rsidR="005E38A2">
        <w:t xml:space="preserve"> </w:t>
      </w:r>
      <w:r w:rsidR="00B36ADF">
        <w:t>District</w:t>
      </w:r>
      <w:r w:rsidR="005E38A2">
        <w:t xml:space="preserve"> </w:t>
      </w:r>
      <w:r w:rsidRPr="00642A7A">
        <w:t>are asked to review the failsafe reports within 5 working days between uploads.</w:t>
      </w:r>
    </w:p>
    <w:p w14:paraId="68D2547F" w14:textId="77777777" w:rsidR="00372021" w:rsidRPr="00F15142" w:rsidRDefault="00372021" w:rsidP="006F558F">
      <w:pPr>
        <w:pStyle w:val="Heading3"/>
      </w:pPr>
      <w:r w:rsidRPr="00F15142">
        <w:t>What is a monitoring failsafe?</w:t>
      </w:r>
    </w:p>
    <w:p w14:paraId="680089CA" w14:textId="7B40AD80" w:rsidR="00372021" w:rsidRDefault="00372021" w:rsidP="00372021">
      <w:r w:rsidRPr="62C01CB9">
        <w:t xml:space="preserve">A monitoring failsafe uses the CIR to identify vaccination events which highlight patterns or trends of procedural errors. These monitoring </w:t>
      </w:r>
      <w:r w:rsidR="005D717B" w:rsidRPr="62C01CB9">
        <w:t>failsafe</w:t>
      </w:r>
      <w:r w:rsidRPr="62C01CB9">
        <w:t xml:space="preserve"> do</w:t>
      </w:r>
      <w:r w:rsidR="009606D0">
        <w:t>es</w:t>
      </w:r>
      <w:r w:rsidRPr="62C01CB9">
        <w:t xml:space="preserve"> not require immediate </w:t>
      </w:r>
      <w:proofErr w:type="gramStart"/>
      <w:r w:rsidRPr="62C01CB9">
        <w:t>action,</w:t>
      </w:r>
      <w:proofErr w:type="gramEnd"/>
      <w:r w:rsidRPr="62C01CB9">
        <w:t xml:space="preserve"> </w:t>
      </w:r>
      <w:r>
        <w:t>however</w:t>
      </w:r>
      <w:r w:rsidRPr="62C01CB9">
        <w:t xml:space="preserve">, patterns or trends </w:t>
      </w:r>
      <w:r>
        <w:t>can be</w:t>
      </w:r>
      <w:r w:rsidRPr="62C01CB9">
        <w:t xml:space="preserve"> identified, </w:t>
      </w:r>
      <w:r w:rsidR="00B36ADF">
        <w:t>District</w:t>
      </w:r>
      <w:r w:rsidRPr="62C01CB9">
        <w:t xml:space="preserve"> can check in with the site to see if recommended processes are being followed.</w:t>
      </w:r>
    </w:p>
    <w:p w14:paraId="77B2FBAC" w14:textId="77777777" w:rsidR="00372021" w:rsidRPr="00390CDD" w:rsidRDefault="00372021" w:rsidP="00372021">
      <w:r w:rsidRPr="00390CDD">
        <w:t xml:space="preserve">A monitoring failsafe </w:t>
      </w:r>
      <w:r w:rsidRPr="002E584B">
        <w:rPr>
          <w:b/>
          <w:bCs/>
        </w:rPr>
        <w:t>does not require verification</w:t>
      </w:r>
      <w:r w:rsidRPr="00390CDD">
        <w:t>.</w:t>
      </w:r>
    </w:p>
    <w:p w14:paraId="286DE7E7" w14:textId="77777777" w:rsidR="00372021" w:rsidRPr="002777AA" w:rsidRDefault="00372021" w:rsidP="006F558F">
      <w:pPr>
        <w:pStyle w:val="Heading3"/>
        <w:rPr>
          <w:sz w:val="20"/>
          <w:szCs w:val="20"/>
        </w:rPr>
      </w:pPr>
      <w:r w:rsidRPr="62C01CB9">
        <w:t xml:space="preserve">What is a detecting </w:t>
      </w:r>
      <w:r w:rsidRPr="002346C2">
        <w:t>failsafe</w:t>
      </w:r>
      <w:r w:rsidRPr="62C01CB9">
        <w:t xml:space="preserve">? </w:t>
      </w:r>
    </w:p>
    <w:p w14:paraId="1B664A7C" w14:textId="77777777" w:rsidR="00372021" w:rsidRPr="008A0B12" w:rsidRDefault="00372021" w:rsidP="00372021">
      <w:r w:rsidRPr="0F7D8085">
        <w:t>A detecting failsafe uses the CIR records to detect unverified adverse events and incidents including never events or data entry errors.</w:t>
      </w:r>
      <w:r w:rsidRPr="00390CDD">
        <w:rPr>
          <w:rFonts w:ascii="Times New Roman" w:eastAsia="Times New Roman" w:hAnsi="Times New Roman" w:cs="Times New Roman"/>
          <w:sz w:val="27"/>
          <w:szCs w:val="27"/>
        </w:rPr>
        <w:t xml:space="preserve"> </w:t>
      </w:r>
      <w:r w:rsidRPr="0F7D8085">
        <w:t>Detecting failsafe reports identify po</w:t>
      </w:r>
      <w:r>
        <w:t>ssible</w:t>
      </w:r>
      <w:r w:rsidRPr="0F7D8085">
        <w:t xml:space="preserve"> incidents which can be verified upon investigation. Some cases may be both a verified incident and data quality error. Therefore, it is important that each individual case is verified, and the appropriate actions outlined in the table from the </w:t>
      </w:r>
      <w:r w:rsidRPr="00390CDD">
        <w:t>COVID-19 Detecting failsafe reporting document</w:t>
      </w:r>
      <w:r w:rsidRPr="0F7D8085">
        <w:t xml:space="preserve"> are followed.</w:t>
      </w:r>
    </w:p>
    <w:p w14:paraId="3E44280D" w14:textId="77777777" w:rsidR="00372021" w:rsidRPr="00F10441" w:rsidRDefault="00372021" w:rsidP="006F558F">
      <w:pPr>
        <w:pStyle w:val="Heading3"/>
        <w:rPr>
          <w:rFonts w:eastAsiaTheme="minorEastAsia"/>
        </w:rPr>
      </w:pPr>
      <w:r w:rsidRPr="62C01CB9">
        <w:t>Why do we need to correct the CIR database?</w:t>
      </w:r>
    </w:p>
    <w:p w14:paraId="57C14C9E" w14:textId="77777777" w:rsidR="00372021" w:rsidRDefault="00372021" w:rsidP="00372021">
      <w:r w:rsidRPr="0C6D6E0B">
        <w:t>Ensuring that the CIR database is correct is important as accurate clinical records are a safety measure for the consumer. Accurate entries into CIR will alert practitioners to previous vaccines or reactions and in case of vaccine or batch recalls. The CIR also records vaccine usage and waste.</w:t>
      </w:r>
    </w:p>
    <w:p w14:paraId="26DA2A8D" w14:textId="77777777" w:rsidR="00372021" w:rsidRDefault="00372021" w:rsidP="00372021">
      <w:pPr>
        <w:pStyle w:val="Heading2"/>
        <w:sectPr w:rsidR="00372021">
          <w:pgSz w:w="11906" w:h="16838"/>
          <w:pgMar w:top="1440" w:right="1440" w:bottom="1440" w:left="1440" w:header="708" w:footer="708" w:gutter="0"/>
          <w:cols w:space="708"/>
          <w:docGrid w:linePitch="360"/>
        </w:sectPr>
      </w:pPr>
    </w:p>
    <w:p w14:paraId="36566987" w14:textId="2B7E986F" w:rsidR="00372021" w:rsidRDefault="00372021" w:rsidP="006F558F">
      <w:pPr>
        <w:pStyle w:val="Heading3"/>
      </w:pPr>
      <w:r w:rsidRPr="00D66B80">
        <w:lastRenderedPageBreak/>
        <w:t xml:space="preserve">What does </w:t>
      </w:r>
      <w:r w:rsidR="000C3C19">
        <w:t>“</w:t>
      </w:r>
      <w:r w:rsidR="000C3C19" w:rsidRPr="002E584B">
        <w:t>verify</w:t>
      </w:r>
      <w:r w:rsidR="000C3C19">
        <w:t>”</w:t>
      </w:r>
      <w:r w:rsidRPr="00D66B80">
        <w:t xml:space="preserve"> an incident or data </w:t>
      </w:r>
      <w:r>
        <w:t>quality</w:t>
      </w:r>
      <w:r w:rsidRPr="00D66B80">
        <w:t xml:space="preserve"> involve?</w:t>
      </w:r>
    </w:p>
    <w:p w14:paraId="2C1B2CEC" w14:textId="61C504F6" w:rsidR="00372021" w:rsidRDefault="00372021" w:rsidP="00372021">
      <w:r>
        <w:t xml:space="preserve">There are two Excel spreadsheets filed in the Failsafe folder in each </w:t>
      </w:r>
      <w:r w:rsidR="00B36ADF">
        <w:t>District</w:t>
      </w:r>
      <w:r>
        <w:t xml:space="preserve"> Teams channel. </w:t>
      </w:r>
      <w:r w:rsidR="005E38A2">
        <w:t xml:space="preserve"> </w:t>
      </w:r>
      <w:r w:rsidR="00B36ADF">
        <w:t>Districts</w:t>
      </w:r>
      <w:r w:rsidRPr="00D66B80">
        <w:t xml:space="preserve"> are responsible to ensure that </w:t>
      </w:r>
      <w:r>
        <w:t>both detecting</w:t>
      </w:r>
      <w:r w:rsidRPr="00D66B80">
        <w:t xml:space="preserve"> failsafe reports are checked weekly for accuracy and to confirm (verify) the </w:t>
      </w:r>
      <w:proofErr w:type="spellStart"/>
      <w:r w:rsidRPr="00D66B80">
        <w:t>failsafes</w:t>
      </w:r>
      <w:proofErr w:type="spellEnd"/>
      <w:r w:rsidRPr="00D66B80">
        <w:t xml:space="preserve"> as incidents, data quality errors or requiring a script</w:t>
      </w:r>
      <w:r>
        <w:t>.</w:t>
      </w:r>
    </w:p>
    <w:p w14:paraId="29971B26" w14:textId="1FC5FD5B" w:rsidR="00372021" w:rsidRDefault="00372021" w:rsidP="00372021">
      <w:pPr>
        <w:pStyle w:val="ListParagraph"/>
        <w:numPr>
          <w:ilvl w:val="0"/>
          <w:numId w:val="31"/>
        </w:numPr>
        <w:spacing w:before="120" w:after="120" w:line="259" w:lineRule="auto"/>
        <w:ind w:hanging="357"/>
      </w:pPr>
      <w:r w:rsidRPr="00390CDD">
        <w:t>“</w:t>
      </w:r>
      <w:proofErr w:type="spellStart"/>
      <w:r w:rsidRPr="00390CDD">
        <w:t>DATE_</w:t>
      </w:r>
      <w:r w:rsidR="00B36ADF">
        <w:t>DISTRICT</w:t>
      </w:r>
      <w:r w:rsidRPr="00390CDD">
        <w:t>_DETECT_FAILSAFE_</w:t>
      </w:r>
      <w:proofErr w:type="gramStart"/>
      <w:r w:rsidRPr="00390CDD">
        <w:t>DQ.xslx</w:t>
      </w:r>
      <w:proofErr w:type="spellEnd"/>
      <w:proofErr w:type="gramEnd"/>
      <w:r w:rsidRPr="00390CDD">
        <w:t xml:space="preserve">” </w:t>
      </w:r>
    </w:p>
    <w:p w14:paraId="24F94A3D" w14:textId="77777777" w:rsidR="00372021" w:rsidRDefault="00372021" w:rsidP="00372021">
      <w:pPr>
        <w:pStyle w:val="ListParagraph"/>
        <w:numPr>
          <w:ilvl w:val="1"/>
          <w:numId w:val="31"/>
        </w:numPr>
        <w:spacing w:line="259" w:lineRule="auto"/>
        <w:ind w:hanging="357"/>
      </w:pPr>
      <w:r w:rsidRPr="005E3468">
        <w:t>This is a new file every week</w:t>
      </w:r>
      <w:r>
        <w:t xml:space="preserve"> for specific data entry issues (eg, invalid batch number)</w:t>
      </w:r>
    </w:p>
    <w:p w14:paraId="0AA1B9F0" w14:textId="77777777" w:rsidR="00372021" w:rsidRDefault="00372021" w:rsidP="00372021">
      <w:pPr>
        <w:pStyle w:val="ListParagraph"/>
        <w:numPr>
          <w:ilvl w:val="1"/>
          <w:numId w:val="31"/>
        </w:numPr>
        <w:spacing w:line="259" w:lineRule="auto"/>
        <w:ind w:hanging="357"/>
      </w:pPr>
      <w:r w:rsidRPr="005E3468">
        <w:t>Corrected records are removed from the following week’s sheet</w:t>
      </w:r>
    </w:p>
    <w:p w14:paraId="7966F35E" w14:textId="4009218B" w:rsidR="00372021" w:rsidRDefault="00372021" w:rsidP="00372021">
      <w:pPr>
        <w:pStyle w:val="ListParagraph"/>
        <w:numPr>
          <w:ilvl w:val="0"/>
          <w:numId w:val="31"/>
        </w:numPr>
        <w:spacing w:before="120" w:after="120" w:line="259" w:lineRule="auto"/>
        <w:ind w:hanging="357"/>
      </w:pPr>
      <w:r w:rsidRPr="00390CDD">
        <w:t>“</w:t>
      </w:r>
      <w:proofErr w:type="spellStart"/>
      <w:r w:rsidRPr="00390CDD">
        <w:t>MASTER_</w:t>
      </w:r>
      <w:r w:rsidR="00B36ADF">
        <w:t>D</w:t>
      </w:r>
      <w:r w:rsidR="00A95B69">
        <w:t>ISTRICT</w:t>
      </w:r>
      <w:r w:rsidRPr="00390CDD">
        <w:t>_DETECT_FAILSAFE.xslx</w:t>
      </w:r>
      <w:proofErr w:type="spellEnd"/>
      <w:r w:rsidRPr="00390CDD">
        <w:t>”</w:t>
      </w:r>
    </w:p>
    <w:p w14:paraId="7D934C6A" w14:textId="77777777" w:rsidR="00372021" w:rsidRDefault="00372021" w:rsidP="00372021">
      <w:pPr>
        <w:pStyle w:val="ListParagraph"/>
        <w:numPr>
          <w:ilvl w:val="1"/>
          <w:numId w:val="31"/>
        </w:numPr>
        <w:spacing w:line="259" w:lineRule="auto"/>
        <w:ind w:hanging="357"/>
      </w:pPr>
      <w:r>
        <w:t>This is one master file where new cases are added weekly</w:t>
      </w:r>
    </w:p>
    <w:p w14:paraId="16E774AC" w14:textId="32D582D5" w:rsidR="00372021" w:rsidRDefault="0087175A" w:rsidP="00372021">
      <w:r>
        <w:object w:dxaOrig="12961" w:dyaOrig="4344" w14:anchorId="5DFBC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75pt;height:238.5pt" o:ole="">
            <v:imagedata r:id="rId21" o:title=""/>
          </v:shape>
          <o:OLEObject Type="Embed" ProgID="Visio.Drawing.15" ShapeID="_x0000_i1025" DrawAspect="Content" ObjectID="_1720862411" r:id="rId22"/>
        </w:object>
      </w:r>
    </w:p>
    <w:p w14:paraId="4873AF32" w14:textId="77777777" w:rsidR="00372021" w:rsidRPr="00390CDD" w:rsidRDefault="00372021" w:rsidP="00372021"/>
    <w:p w14:paraId="1914DA4C" w14:textId="77777777" w:rsidR="00372021" w:rsidRDefault="00372021" w:rsidP="00372021">
      <w:r w:rsidRPr="00D66B80">
        <w:t>For a more in depth break down of this process, refer to the ‘COVID-19 detecting failsafe reporting document’.</w:t>
      </w:r>
      <w:r>
        <w:t xml:space="preserve"> </w:t>
      </w:r>
    </w:p>
    <w:p w14:paraId="5019DEFC" w14:textId="5F9DCAC0" w:rsidR="009108A3" w:rsidRPr="00372021" w:rsidRDefault="00372021" w:rsidP="006F558F">
      <w:r w:rsidRPr="00C17B78">
        <w:rPr>
          <w:b/>
          <w:bCs/>
        </w:rPr>
        <w:t>Note:</w:t>
      </w:r>
      <w:r w:rsidRPr="1B1DB07C">
        <w:rPr>
          <w:b/>
          <w:bCs/>
        </w:rPr>
        <w:t xml:space="preserve"> </w:t>
      </w:r>
      <w:r>
        <w:t xml:space="preserve">Submitting an AEFI report does not notify the Programme about incidents. It’s important that NIP incident form is completed and sent to </w:t>
      </w:r>
      <w:hyperlink r:id="rId23" w:history="1">
        <w:r w:rsidRPr="00D66B80">
          <w:rPr>
            <w:rStyle w:val="Hyperlink"/>
            <w:color w:val="0070C0"/>
          </w:rPr>
          <w:t>NIP.incidentnotification@health.govt.nz</w:t>
        </w:r>
      </w:hyperlink>
      <w:r>
        <w:t xml:space="preserve">. The most up to date NIP incident form can be found in the </w:t>
      </w:r>
      <w:hyperlink r:id="rId24" w:anchor="operate" w:history="1">
        <w:r w:rsidRPr="00DB1E25">
          <w:rPr>
            <w:rStyle w:val="Hyperlink"/>
          </w:rPr>
          <w:t>COVID-19 Vaccine Operating guidelines</w:t>
        </w:r>
      </w:hyperlink>
      <w:r>
        <w:t>.</w:t>
      </w:r>
    </w:p>
    <w:sectPr w:rsidR="009108A3" w:rsidRPr="00372021" w:rsidSect="006F558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51EE" w14:textId="77777777" w:rsidR="002F6415" w:rsidRDefault="002F6415" w:rsidP="00CF4472">
      <w:pPr>
        <w:spacing w:before="0" w:after="0"/>
      </w:pPr>
      <w:r>
        <w:separator/>
      </w:r>
    </w:p>
  </w:endnote>
  <w:endnote w:type="continuationSeparator" w:id="0">
    <w:p w14:paraId="2584B2BC" w14:textId="77777777" w:rsidR="002F6415" w:rsidRDefault="002F6415" w:rsidP="00CF4472">
      <w:pPr>
        <w:spacing w:before="0" w:after="0"/>
      </w:pPr>
      <w:r>
        <w:continuationSeparator/>
      </w:r>
    </w:p>
  </w:endnote>
  <w:endnote w:type="continuationNotice" w:id="1">
    <w:p w14:paraId="46D3AA4A" w14:textId="77777777" w:rsidR="002F6415" w:rsidRDefault="002F64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21F74" w14:textId="77777777" w:rsidR="002F6415" w:rsidRDefault="002F6415" w:rsidP="00CF4472">
      <w:pPr>
        <w:spacing w:before="0" w:after="0"/>
      </w:pPr>
      <w:r>
        <w:separator/>
      </w:r>
    </w:p>
  </w:footnote>
  <w:footnote w:type="continuationSeparator" w:id="0">
    <w:p w14:paraId="503DED4C" w14:textId="77777777" w:rsidR="002F6415" w:rsidRDefault="002F6415" w:rsidP="00CF4472">
      <w:pPr>
        <w:spacing w:before="0" w:after="0"/>
      </w:pPr>
      <w:r>
        <w:continuationSeparator/>
      </w:r>
    </w:p>
  </w:footnote>
  <w:footnote w:type="continuationNotice" w:id="1">
    <w:p w14:paraId="193E982F" w14:textId="77777777" w:rsidR="002F6415" w:rsidRDefault="002F6415">
      <w:pPr>
        <w:spacing w:before="0" w:after="0"/>
      </w:pPr>
    </w:p>
  </w:footnote>
  <w:footnote w:id="2">
    <w:p w14:paraId="7F1CBF28" w14:textId="0DD7178D" w:rsidR="00CF4472" w:rsidRPr="00774056" w:rsidRDefault="00CF4472">
      <w:pPr>
        <w:pStyle w:val="FootnoteText"/>
        <w:rPr>
          <w:sz w:val="18"/>
          <w:szCs w:val="18"/>
          <w:lang w:val="en-NZ"/>
        </w:rPr>
      </w:pPr>
      <w:r w:rsidRPr="00774056">
        <w:rPr>
          <w:rStyle w:val="FootnoteReference"/>
          <w:sz w:val="18"/>
          <w:szCs w:val="18"/>
        </w:rPr>
        <w:footnoteRef/>
      </w:r>
      <w:r w:rsidRPr="00774056">
        <w:rPr>
          <w:sz w:val="18"/>
          <w:szCs w:val="18"/>
        </w:rPr>
        <w:t xml:space="preserve"> </w:t>
      </w:r>
      <w:bookmarkStart w:id="9" w:name="_Hlk100572042"/>
      <w:r w:rsidRPr="00774056">
        <w:rPr>
          <w:sz w:val="18"/>
          <w:szCs w:val="18"/>
        </w:rPr>
        <w:t xml:space="preserve">If </w:t>
      </w:r>
      <w:r w:rsidR="00F26FEF">
        <w:rPr>
          <w:sz w:val="18"/>
          <w:szCs w:val="18"/>
        </w:rPr>
        <w:t xml:space="preserve">a </w:t>
      </w:r>
      <w:r w:rsidRPr="00774056">
        <w:rPr>
          <w:sz w:val="18"/>
          <w:szCs w:val="18"/>
        </w:rPr>
        <w:t>verified</w:t>
      </w:r>
      <w:r w:rsidR="00F26FEF">
        <w:rPr>
          <w:sz w:val="18"/>
          <w:szCs w:val="18"/>
        </w:rPr>
        <w:t xml:space="preserve"> incident</w:t>
      </w:r>
      <w:r w:rsidR="00CC0276" w:rsidRPr="00774056">
        <w:rPr>
          <w:sz w:val="18"/>
          <w:szCs w:val="18"/>
        </w:rPr>
        <w:t>,</w:t>
      </w:r>
      <w:r w:rsidRPr="00774056">
        <w:rPr>
          <w:sz w:val="18"/>
          <w:szCs w:val="18"/>
        </w:rPr>
        <w:t xml:space="preserve"> t</w:t>
      </w:r>
      <w:r w:rsidRPr="00774056">
        <w:rPr>
          <w:sz w:val="18"/>
          <w:szCs w:val="18"/>
          <w:lang w:val="en-NZ"/>
        </w:rPr>
        <w:t>his a NIP never event</w:t>
      </w:r>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848"/>
    <w:multiLevelType w:val="hybridMultilevel"/>
    <w:tmpl w:val="B8D43CF0"/>
    <w:lvl w:ilvl="0" w:tplc="82880D46">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FC58DC"/>
    <w:multiLevelType w:val="hybridMultilevel"/>
    <w:tmpl w:val="BE36B8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8409C4"/>
    <w:multiLevelType w:val="hybridMultilevel"/>
    <w:tmpl w:val="FA2AE790"/>
    <w:lvl w:ilvl="0" w:tplc="40489542">
      <w:start w:val="1"/>
      <w:numFmt w:val="decimal"/>
      <w:lvlText w:val="%1."/>
      <w:lvlJc w:val="left"/>
      <w:pPr>
        <w:ind w:left="720" w:hanging="360"/>
      </w:pPr>
      <w:rPr>
        <w:rFonts w:hint="default"/>
        <w:b w:val="0"/>
        <w:bCs w:val="0"/>
      </w:rPr>
    </w:lvl>
    <w:lvl w:ilvl="1" w:tplc="1B9EC76C">
      <w:start w:val="1"/>
      <w:numFmt w:val="lowerLetter"/>
      <w:pStyle w:val="ListParagraph"/>
      <w:lvlText w:val="%2."/>
      <w:lvlJc w:val="left"/>
      <w:pPr>
        <w:ind w:left="1440" w:hanging="360"/>
      </w:pPr>
      <w:rPr>
        <w:b w:val="0"/>
        <w:bCs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DE0C97"/>
    <w:multiLevelType w:val="hybridMultilevel"/>
    <w:tmpl w:val="4A4E179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810359"/>
    <w:multiLevelType w:val="hybridMultilevel"/>
    <w:tmpl w:val="5876410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0337DA5"/>
    <w:multiLevelType w:val="hybridMultilevel"/>
    <w:tmpl w:val="6A04B5C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84651BC"/>
    <w:multiLevelType w:val="multilevel"/>
    <w:tmpl w:val="DE10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380988"/>
    <w:multiLevelType w:val="hybridMultilevel"/>
    <w:tmpl w:val="A4D866DE"/>
    <w:lvl w:ilvl="0" w:tplc="06E4B8E2">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821ABD"/>
    <w:multiLevelType w:val="hybridMultilevel"/>
    <w:tmpl w:val="E82ED828"/>
    <w:lvl w:ilvl="0" w:tplc="A7E8FF12">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A81479"/>
    <w:multiLevelType w:val="hybridMultilevel"/>
    <w:tmpl w:val="E8C09638"/>
    <w:lvl w:ilvl="0" w:tplc="7CFE8DA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11D5F06"/>
    <w:multiLevelType w:val="hybridMultilevel"/>
    <w:tmpl w:val="807691A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DD01E47"/>
    <w:multiLevelType w:val="hybridMultilevel"/>
    <w:tmpl w:val="6B646336"/>
    <w:lvl w:ilvl="0" w:tplc="CCE27F4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2FA22B5"/>
    <w:multiLevelType w:val="hybridMultilevel"/>
    <w:tmpl w:val="534E57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9021436"/>
    <w:multiLevelType w:val="hybridMultilevel"/>
    <w:tmpl w:val="1B9EED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6319BB"/>
    <w:multiLevelType w:val="hybridMultilevel"/>
    <w:tmpl w:val="C1EAE302"/>
    <w:lvl w:ilvl="0" w:tplc="A7E8FF12">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354168A"/>
    <w:multiLevelType w:val="hybridMultilevel"/>
    <w:tmpl w:val="598CCF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581024E"/>
    <w:multiLevelType w:val="hybridMultilevel"/>
    <w:tmpl w:val="1A4C1FFC"/>
    <w:lvl w:ilvl="0" w:tplc="6868C754">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91830C1"/>
    <w:multiLevelType w:val="hybridMultilevel"/>
    <w:tmpl w:val="BA366086"/>
    <w:lvl w:ilvl="0" w:tplc="82880D46">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C0A33B7"/>
    <w:multiLevelType w:val="hybridMultilevel"/>
    <w:tmpl w:val="1FCAE47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C9C0EAD"/>
    <w:multiLevelType w:val="hybridMultilevel"/>
    <w:tmpl w:val="5DF873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CF90D05"/>
    <w:multiLevelType w:val="multilevel"/>
    <w:tmpl w:val="597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1053A"/>
    <w:multiLevelType w:val="hybridMultilevel"/>
    <w:tmpl w:val="B8D43CF0"/>
    <w:lvl w:ilvl="0" w:tplc="82880D46">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0E868ED"/>
    <w:multiLevelType w:val="hybridMultilevel"/>
    <w:tmpl w:val="0E5E80D0"/>
    <w:lvl w:ilvl="0" w:tplc="5F8E203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1D458E7"/>
    <w:multiLevelType w:val="hybridMultilevel"/>
    <w:tmpl w:val="A74468A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5082DB0"/>
    <w:multiLevelType w:val="hybridMultilevel"/>
    <w:tmpl w:val="E8C09638"/>
    <w:lvl w:ilvl="0" w:tplc="7CFE8DA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33D4901"/>
    <w:multiLevelType w:val="hybridMultilevel"/>
    <w:tmpl w:val="D7069920"/>
    <w:lvl w:ilvl="0" w:tplc="1409000F">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5A1629D"/>
    <w:multiLevelType w:val="hybridMultilevel"/>
    <w:tmpl w:val="F0046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79F58AB"/>
    <w:multiLevelType w:val="hybridMultilevel"/>
    <w:tmpl w:val="F6248EEC"/>
    <w:lvl w:ilvl="0" w:tplc="6D3E4EE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82D3A0B"/>
    <w:multiLevelType w:val="hybridMultilevel"/>
    <w:tmpl w:val="F3DCFBAA"/>
    <w:lvl w:ilvl="0" w:tplc="63284EDA">
      <w:start w:val="1"/>
      <w:numFmt w:val="decimal"/>
      <w:lvlText w:val="%1."/>
      <w:lvlJc w:val="left"/>
      <w:pPr>
        <w:ind w:left="360" w:hanging="360"/>
      </w:pPr>
      <w:rPr>
        <w:b w:val="0"/>
        <w:bCs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86F094F"/>
    <w:multiLevelType w:val="hybridMultilevel"/>
    <w:tmpl w:val="57F487D8"/>
    <w:lvl w:ilvl="0" w:tplc="F6CCAA44">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20"/>
  </w:num>
  <w:num w:numId="3">
    <w:abstractNumId w:val="4"/>
  </w:num>
  <w:num w:numId="4">
    <w:abstractNumId w:val="22"/>
  </w:num>
  <w:num w:numId="5">
    <w:abstractNumId w:val="24"/>
  </w:num>
  <w:num w:numId="6">
    <w:abstractNumId w:val="16"/>
  </w:num>
  <w:num w:numId="7">
    <w:abstractNumId w:val="15"/>
  </w:num>
  <w:num w:numId="8">
    <w:abstractNumId w:val="29"/>
  </w:num>
  <w:num w:numId="9">
    <w:abstractNumId w:val="28"/>
  </w:num>
  <w:num w:numId="10">
    <w:abstractNumId w:val="2"/>
  </w:num>
  <w:num w:numId="11">
    <w:abstractNumId w:val="8"/>
  </w:num>
  <w:num w:numId="12">
    <w:abstractNumId w:val="14"/>
  </w:num>
  <w:num w:numId="13">
    <w:abstractNumId w:val="3"/>
  </w:num>
  <w:num w:numId="14">
    <w:abstractNumId w:val="5"/>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
  </w:num>
  <w:num w:numId="21">
    <w:abstractNumId w:val="23"/>
  </w:num>
  <w:num w:numId="22">
    <w:abstractNumId w:val="17"/>
  </w:num>
  <w:num w:numId="23">
    <w:abstractNumId w:val="0"/>
  </w:num>
  <w:num w:numId="24">
    <w:abstractNumId w:val="18"/>
  </w:num>
  <w:num w:numId="25">
    <w:abstractNumId w:val="25"/>
  </w:num>
  <w:num w:numId="26">
    <w:abstractNumId w:val="19"/>
  </w:num>
  <w:num w:numId="27">
    <w:abstractNumId w:val="10"/>
  </w:num>
  <w:num w:numId="28">
    <w:abstractNumId w:val="21"/>
  </w:num>
  <w:num w:numId="29">
    <w:abstractNumId w:val="13"/>
  </w:num>
  <w:num w:numId="30">
    <w:abstractNumId w:val="27"/>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5B"/>
    <w:rsid w:val="000006B1"/>
    <w:rsid w:val="00001B5B"/>
    <w:rsid w:val="00002021"/>
    <w:rsid w:val="0000670D"/>
    <w:rsid w:val="00010D3F"/>
    <w:rsid w:val="00011D81"/>
    <w:rsid w:val="000125FD"/>
    <w:rsid w:val="000164DA"/>
    <w:rsid w:val="00016787"/>
    <w:rsid w:val="00016B06"/>
    <w:rsid w:val="000175DF"/>
    <w:rsid w:val="000208EA"/>
    <w:rsid w:val="00022670"/>
    <w:rsid w:val="000256B4"/>
    <w:rsid w:val="00026FA0"/>
    <w:rsid w:val="000273E1"/>
    <w:rsid w:val="00033E5F"/>
    <w:rsid w:val="000354EC"/>
    <w:rsid w:val="00043745"/>
    <w:rsid w:val="00046436"/>
    <w:rsid w:val="00052F20"/>
    <w:rsid w:val="0005300F"/>
    <w:rsid w:val="000552EC"/>
    <w:rsid w:val="00056738"/>
    <w:rsid w:val="0005703D"/>
    <w:rsid w:val="00060090"/>
    <w:rsid w:val="00061C76"/>
    <w:rsid w:val="0006290A"/>
    <w:rsid w:val="00065E18"/>
    <w:rsid w:val="000666CE"/>
    <w:rsid w:val="00066909"/>
    <w:rsid w:val="00066C8A"/>
    <w:rsid w:val="000679B8"/>
    <w:rsid w:val="0007107E"/>
    <w:rsid w:val="000713CA"/>
    <w:rsid w:val="000716E9"/>
    <w:rsid w:val="0007257B"/>
    <w:rsid w:val="00082E01"/>
    <w:rsid w:val="00084DDA"/>
    <w:rsid w:val="00090DA2"/>
    <w:rsid w:val="00091CA2"/>
    <w:rsid w:val="00091DEA"/>
    <w:rsid w:val="00092F20"/>
    <w:rsid w:val="000954F0"/>
    <w:rsid w:val="00097486"/>
    <w:rsid w:val="000A1BB1"/>
    <w:rsid w:val="000A3462"/>
    <w:rsid w:val="000A3FE8"/>
    <w:rsid w:val="000B1298"/>
    <w:rsid w:val="000B1975"/>
    <w:rsid w:val="000B2C41"/>
    <w:rsid w:val="000B4CBA"/>
    <w:rsid w:val="000B5BBB"/>
    <w:rsid w:val="000B5F51"/>
    <w:rsid w:val="000B7B2F"/>
    <w:rsid w:val="000C2FB6"/>
    <w:rsid w:val="000C3C19"/>
    <w:rsid w:val="000C60DD"/>
    <w:rsid w:val="000D0178"/>
    <w:rsid w:val="000D10E3"/>
    <w:rsid w:val="000D3D0B"/>
    <w:rsid w:val="000D3D59"/>
    <w:rsid w:val="000D4AEA"/>
    <w:rsid w:val="000F0669"/>
    <w:rsid w:val="000F11A5"/>
    <w:rsid w:val="000F4696"/>
    <w:rsid w:val="00100E8F"/>
    <w:rsid w:val="0010109F"/>
    <w:rsid w:val="001070D7"/>
    <w:rsid w:val="00111A17"/>
    <w:rsid w:val="00114291"/>
    <w:rsid w:val="00114C15"/>
    <w:rsid w:val="001157E1"/>
    <w:rsid w:val="00116196"/>
    <w:rsid w:val="001164A8"/>
    <w:rsid w:val="001169A3"/>
    <w:rsid w:val="00121DFB"/>
    <w:rsid w:val="001227E7"/>
    <w:rsid w:val="00123F6D"/>
    <w:rsid w:val="00125763"/>
    <w:rsid w:val="001263A4"/>
    <w:rsid w:val="001310C6"/>
    <w:rsid w:val="00132768"/>
    <w:rsid w:val="001401C4"/>
    <w:rsid w:val="00146E30"/>
    <w:rsid w:val="00151299"/>
    <w:rsid w:val="001513CC"/>
    <w:rsid w:val="00151432"/>
    <w:rsid w:val="00153724"/>
    <w:rsid w:val="0015539B"/>
    <w:rsid w:val="001559F4"/>
    <w:rsid w:val="001574BB"/>
    <w:rsid w:val="00160476"/>
    <w:rsid w:val="001624EA"/>
    <w:rsid w:val="00164E74"/>
    <w:rsid w:val="001678EA"/>
    <w:rsid w:val="0017066C"/>
    <w:rsid w:val="00172448"/>
    <w:rsid w:val="001747FB"/>
    <w:rsid w:val="00186065"/>
    <w:rsid w:val="00191E49"/>
    <w:rsid w:val="00197BB7"/>
    <w:rsid w:val="001A199D"/>
    <w:rsid w:val="001A1F47"/>
    <w:rsid w:val="001A321F"/>
    <w:rsid w:val="001A6884"/>
    <w:rsid w:val="001A6E9E"/>
    <w:rsid w:val="001B2302"/>
    <w:rsid w:val="001C077C"/>
    <w:rsid w:val="001C2C40"/>
    <w:rsid w:val="001C6772"/>
    <w:rsid w:val="001D151E"/>
    <w:rsid w:val="001D4055"/>
    <w:rsid w:val="001D48F8"/>
    <w:rsid w:val="001E7F88"/>
    <w:rsid w:val="001F1198"/>
    <w:rsid w:val="001F2F9F"/>
    <w:rsid w:val="001F323B"/>
    <w:rsid w:val="001F56BE"/>
    <w:rsid w:val="001F6A61"/>
    <w:rsid w:val="00202BF9"/>
    <w:rsid w:val="0020591C"/>
    <w:rsid w:val="0020751B"/>
    <w:rsid w:val="002139D8"/>
    <w:rsid w:val="00214817"/>
    <w:rsid w:val="002154E7"/>
    <w:rsid w:val="002176CA"/>
    <w:rsid w:val="00223EFB"/>
    <w:rsid w:val="0022467A"/>
    <w:rsid w:val="0023064A"/>
    <w:rsid w:val="00230CDA"/>
    <w:rsid w:val="002346C2"/>
    <w:rsid w:val="002348EB"/>
    <w:rsid w:val="00236C58"/>
    <w:rsid w:val="00237549"/>
    <w:rsid w:val="00237A43"/>
    <w:rsid w:val="0024004C"/>
    <w:rsid w:val="00245791"/>
    <w:rsid w:val="0025113B"/>
    <w:rsid w:val="00253F68"/>
    <w:rsid w:val="00260338"/>
    <w:rsid w:val="00265AAE"/>
    <w:rsid w:val="00272804"/>
    <w:rsid w:val="0027412D"/>
    <w:rsid w:val="00281F59"/>
    <w:rsid w:val="00283193"/>
    <w:rsid w:val="00283B4C"/>
    <w:rsid w:val="00285C1F"/>
    <w:rsid w:val="00291011"/>
    <w:rsid w:val="002919F2"/>
    <w:rsid w:val="002936FD"/>
    <w:rsid w:val="002954C1"/>
    <w:rsid w:val="002955E8"/>
    <w:rsid w:val="002A3B2F"/>
    <w:rsid w:val="002A696D"/>
    <w:rsid w:val="002B0990"/>
    <w:rsid w:val="002B1C8D"/>
    <w:rsid w:val="002C6B6E"/>
    <w:rsid w:val="002D1108"/>
    <w:rsid w:val="002D21A9"/>
    <w:rsid w:val="002E22E4"/>
    <w:rsid w:val="002E37E5"/>
    <w:rsid w:val="002E3809"/>
    <w:rsid w:val="002E5E61"/>
    <w:rsid w:val="002E6737"/>
    <w:rsid w:val="002E7A5A"/>
    <w:rsid w:val="002F065A"/>
    <w:rsid w:val="002F2761"/>
    <w:rsid w:val="002F416C"/>
    <w:rsid w:val="002F6415"/>
    <w:rsid w:val="002F7598"/>
    <w:rsid w:val="00306638"/>
    <w:rsid w:val="003074AD"/>
    <w:rsid w:val="00315E05"/>
    <w:rsid w:val="00317AFA"/>
    <w:rsid w:val="003201B7"/>
    <w:rsid w:val="00323AFE"/>
    <w:rsid w:val="00326C67"/>
    <w:rsid w:val="00326D8B"/>
    <w:rsid w:val="003332E5"/>
    <w:rsid w:val="0033544E"/>
    <w:rsid w:val="0033723E"/>
    <w:rsid w:val="00340D1D"/>
    <w:rsid w:val="00340EEF"/>
    <w:rsid w:val="00347A8D"/>
    <w:rsid w:val="003501DB"/>
    <w:rsid w:val="00350887"/>
    <w:rsid w:val="00354B23"/>
    <w:rsid w:val="003564DE"/>
    <w:rsid w:val="00372021"/>
    <w:rsid w:val="00374EB4"/>
    <w:rsid w:val="00375BB6"/>
    <w:rsid w:val="003821ED"/>
    <w:rsid w:val="00384F08"/>
    <w:rsid w:val="00393FC2"/>
    <w:rsid w:val="00396051"/>
    <w:rsid w:val="0039749E"/>
    <w:rsid w:val="003A1F36"/>
    <w:rsid w:val="003A354C"/>
    <w:rsid w:val="003A65FD"/>
    <w:rsid w:val="003A6F6F"/>
    <w:rsid w:val="003B09C4"/>
    <w:rsid w:val="003B3F84"/>
    <w:rsid w:val="003B46F6"/>
    <w:rsid w:val="003B60C9"/>
    <w:rsid w:val="003B68BD"/>
    <w:rsid w:val="003C0DF9"/>
    <w:rsid w:val="003C1452"/>
    <w:rsid w:val="003C4B8F"/>
    <w:rsid w:val="003D1C5E"/>
    <w:rsid w:val="003D1DEA"/>
    <w:rsid w:val="003D31E5"/>
    <w:rsid w:val="003D523A"/>
    <w:rsid w:val="003D671C"/>
    <w:rsid w:val="003E560D"/>
    <w:rsid w:val="003E71DB"/>
    <w:rsid w:val="003F6BBB"/>
    <w:rsid w:val="004006EF"/>
    <w:rsid w:val="00401DE6"/>
    <w:rsid w:val="004120C8"/>
    <w:rsid w:val="00412316"/>
    <w:rsid w:val="004148CB"/>
    <w:rsid w:val="00414FFC"/>
    <w:rsid w:val="00426564"/>
    <w:rsid w:val="0043127A"/>
    <w:rsid w:val="00432472"/>
    <w:rsid w:val="0043382C"/>
    <w:rsid w:val="0043577C"/>
    <w:rsid w:val="0044073C"/>
    <w:rsid w:val="00442D9B"/>
    <w:rsid w:val="00444ED7"/>
    <w:rsid w:val="0045302C"/>
    <w:rsid w:val="0045323E"/>
    <w:rsid w:val="00453C6E"/>
    <w:rsid w:val="00456E27"/>
    <w:rsid w:val="00457B80"/>
    <w:rsid w:val="00467329"/>
    <w:rsid w:val="00471E15"/>
    <w:rsid w:val="00472BD3"/>
    <w:rsid w:val="00477994"/>
    <w:rsid w:val="00481FA3"/>
    <w:rsid w:val="004826BF"/>
    <w:rsid w:val="004876B5"/>
    <w:rsid w:val="00493775"/>
    <w:rsid w:val="0049605B"/>
    <w:rsid w:val="00496DF5"/>
    <w:rsid w:val="00497D95"/>
    <w:rsid w:val="004A0D99"/>
    <w:rsid w:val="004A2A13"/>
    <w:rsid w:val="004A56E3"/>
    <w:rsid w:val="004A56E5"/>
    <w:rsid w:val="004B3F13"/>
    <w:rsid w:val="004C0B38"/>
    <w:rsid w:val="004C0EB9"/>
    <w:rsid w:val="004D05A9"/>
    <w:rsid w:val="004D063A"/>
    <w:rsid w:val="004D3313"/>
    <w:rsid w:val="004D5995"/>
    <w:rsid w:val="004E104D"/>
    <w:rsid w:val="004E1F59"/>
    <w:rsid w:val="004E21A5"/>
    <w:rsid w:val="004E623D"/>
    <w:rsid w:val="004F3F7F"/>
    <w:rsid w:val="004F63C6"/>
    <w:rsid w:val="004F68E8"/>
    <w:rsid w:val="00503A12"/>
    <w:rsid w:val="0050426A"/>
    <w:rsid w:val="00505BA7"/>
    <w:rsid w:val="00507786"/>
    <w:rsid w:val="00511C4F"/>
    <w:rsid w:val="005123A6"/>
    <w:rsid w:val="005171ED"/>
    <w:rsid w:val="005176A7"/>
    <w:rsid w:val="00522669"/>
    <w:rsid w:val="0052298C"/>
    <w:rsid w:val="00527556"/>
    <w:rsid w:val="0053007D"/>
    <w:rsid w:val="00532CA2"/>
    <w:rsid w:val="00534012"/>
    <w:rsid w:val="0053486D"/>
    <w:rsid w:val="00536BAD"/>
    <w:rsid w:val="00537494"/>
    <w:rsid w:val="0054147E"/>
    <w:rsid w:val="0054160E"/>
    <w:rsid w:val="00542B7E"/>
    <w:rsid w:val="005436AB"/>
    <w:rsid w:val="005466AC"/>
    <w:rsid w:val="00546DB7"/>
    <w:rsid w:val="005472B5"/>
    <w:rsid w:val="00553C71"/>
    <w:rsid w:val="005543E7"/>
    <w:rsid w:val="00555936"/>
    <w:rsid w:val="00561970"/>
    <w:rsid w:val="0056218B"/>
    <w:rsid w:val="005630FA"/>
    <w:rsid w:val="00565E6D"/>
    <w:rsid w:val="0057545E"/>
    <w:rsid w:val="00575635"/>
    <w:rsid w:val="00576950"/>
    <w:rsid w:val="00580161"/>
    <w:rsid w:val="00581D4B"/>
    <w:rsid w:val="00583344"/>
    <w:rsid w:val="00584369"/>
    <w:rsid w:val="00584C38"/>
    <w:rsid w:val="0059063D"/>
    <w:rsid w:val="00592D39"/>
    <w:rsid w:val="00593DAF"/>
    <w:rsid w:val="00595A64"/>
    <w:rsid w:val="005A00EB"/>
    <w:rsid w:val="005A312B"/>
    <w:rsid w:val="005A62D6"/>
    <w:rsid w:val="005A6F22"/>
    <w:rsid w:val="005B1A7F"/>
    <w:rsid w:val="005B37ED"/>
    <w:rsid w:val="005B6F2E"/>
    <w:rsid w:val="005B74C0"/>
    <w:rsid w:val="005C0AC3"/>
    <w:rsid w:val="005C261C"/>
    <w:rsid w:val="005C271A"/>
    <w:rsid w:val="005C4ADF"/>
    <w:rsid w:val="005C53DB"/>
    <w:rsid w:val="005C6089"/>
    <w:rsid w:val="005C63DD"/>
    <w:rsid w:val="005D0C36"/>
    <w:rsid w:val="005D717B"/>
    <w:rsid w:val="005D7C5F"/>
    <w:rsid w:val="005E38A2"/>
    <w:rsid w:val="005F2A54"/>
    <w:rsid w:val="005F3434"/>
    <w:rsid w:val="005F41D5"/>
    <w:rsid w:val="00600DF8"/>
    <w:rsid w:val="00601DFC"/>
    <w:rsid w:val="006028F7"/>
    <w:rsid w:val="00603DBE"/>
    <w:rsid w:val="00612A39"/>
    <w:rsid w:val="006135A9"/>
    <w:rsid w:val="00615C4E"/>
    <w:rsid w:val="00623F62"/>
    <w:rsid w:val="0062426E"/>
    <w:rsid w:val="006252F0"/>
    <w:rsid w:val="00625AF5"/>
    <w:rsid w:val="0062758F"/>
    <w:rsid w:val="00633EDD"/>
    <w:rsid w:val="00634532"/>
    <w:rsid w:val="006374AC"/>
    <w:rsid w:val="00637EAC"/>
    <w:rsid w:val="00645A1A"/>
    <w:rsid w:val="00645D11"/>
    <w:rsid w:val="00646334"/>
    <w:rsid w:val="00647E3F"/>
    <w:rsid w:val="006524C3"/>
    <w:rsid w:val="00656B6C"/>
    <w:rsid w:val="006570D4"/>
    <w:rsid w:val="00662198"/>
    <w:rsid w:val="00662AB1"/>
    <w:rsid w:val="006703C9"/>
    <w:rsid w:val="00670FB9"/>
    <w:rsid w:val="006722D3"/>
    <w:rsid w:val="00673D9A"/>
    <w:rsid w:val="00674B66"/>
    <w:rsid w:val="006806B1"/>
    <w:rsid w:val="006816FC"/>
    <w:rsid w:val="006841F1"/>
    <w:rsid w:val="00685AEC"/>
    <w:rsid w:val="0069387A"/>
    <w:rsid w:val="00694575"/>
    <w:rsid w:val="006A1DB6"/>
    <w:rsid w:val="006A2E11"/>
    <w:rsid w:val="006A45CA"/>
    <w:rsid w:val="006A64DB"/>
    <w:rsid w:val="006B273D"/>
    <w:rsid w:val="006B3C39"/>
    <w:rsid w:val="006B7E56"/>
    <w:rsid w:val="006C68C1"/>
    <w:rsid w:val="006C7BD7"/>
    <w:rsid w:val="006D0E91"/>
    <w:rsid w:val="006D26C1"/>
    <w:rsid w:val="006D30D9"/>
    <w:rsid w:val="006D4012"/>
    <w:rsid w:val="006D4566"/>
    <w:rsid w:val="006D50B0"/>
    <w:rsid w:val="006D5F07"/>
    <w:rsid w:val="006D76A5"/>
    <w:rsid w:val="006E00E1"/>
    <w:rsid w:val="006E2437"/>
    <w:rsid w:val="006E69D8"/>
    <w:rsid w:val="006E7EE4"/>
    <w:rsid w:val="006F40F2"/>
    <w:rsid w:val="006F4839"/>
    <w:rsid w:val="006F558F"/>
    <w:rsid w:val="006F59EA"/>
    <w:rsid w:val="00700964"/>
    <w:rsid w:val="0070228F"/>
    <w:rsid w:val="007032D6"/>
    <w:rsid w:val="0070551B"/>
    <w:rsid w:val="00714CB2"/>
    <w:rsid w:val="007209D6"/>
    <w:rsid w:val="00723CE2"/>
    <w:rsid w:val="00724C88"/>
    <w:rsid w:val="0072503F"/>
    <w:rsid w:val="007344EB"/>
    <w:rsid w:val="007409A1"/>
    <w:rsid w:val="0074169A"/>
    <w:rsid w:val="00742159"/>
    <w:rsid w:val="007421AD"/>
    <w:rsid w:val="007421C6"/>
    <w:rsid w:val="00743327"/>
    <w:rsid w:val="0074375A"/>
    <w:rsid w:val="00744540"/>
    <w:rsid w:val="007447F6"/>
    <w:rsid w:val="00745488"/>
    <w:rsid w:val="00750507"/>
    <w:rsid w:val="00750D90"/>
    <w:rsid w:val="00754F59"/>
    <w:rsid w:val="00757623"/>
    <w:rsid w:val="00757F87"/>
    <w:rsid w:val="00763DAF"/>
    <w:rsid w:val="00764DA3"/>
    <w:rsid w:val="00764E34"/>
    <w:rsid w:val="00765CE5"/>
    <w:rsid w:val="00767967"/>
    <w:rsid w:val="00774056"/>
    <w:rsid w:val="007812BC"/>
    <w:rsid w:val="007839D8"/>
    <w:rsid w:val="0078554A"/>
    <w:rsid w:val="007877D4"/>
    <w:rsid w:val="00790AE6"/>
    <w:rsid w:val="007A693E"/>
    <w:rsid w:val="007A74DA"/>
    <w:rsid w:val="007C1376"/>
    <w:rsid w:val="007C1A02"/>
    <w:rsid w:val="007C2220"/>
    <w:rsid w:val="007C2CA6"/>
    <w:rsid w:val="007C61C1"/>
    <w:rsid w:val="007C69EA"/>
    <w:rsid w:val="007D02BD"/>
    <w:rsid w:val="007D1B78"/>
    <w:rsid w:val="007D43B9"/>
    <w:rsid w:val="007D7E94"/>
    <w:rsid w:val="007E11A7"/>
    <w:rsid w:val="007E5D14"/>
    <w:rsid w:val="007E5F0B"/>
    <w:rsid w:val="007E7E71"/>
    <w:rsid w:val="007F0035"/>
    <w:rsid w:val="007F4F81"/>
    <w:rsid w:val="00803D97"/>
    <w:rsid w:val="0080492C"/>
    <w:rsid w:val="0080696D"/>
    <w:rsid w:val="0081062D"/>
    <w:rsid w:val="00813273"/>
    <w:rsid w:val="0081509B"/>
    <w:rsid w:val="00817E31"/>
    <w:rsid w:val="0082358D"/>
    <w:rsid w:val="008253FE"/>
    <w:rsid w:val="00834199"/>
    <w:rsid w:val="008379D4"/>
    <w:rsid w:val="00842979"/>
    <w:rsid w:val="008461C4"/>
    <w:rsid w:val="00850368"/>
    <w:rsid w:val="00851C8E"/>
    <w:rsid w:val="00851D0F"/>
    <w:rsid w:val="008547EA"/>
    <w:rsid w:val="00855B91"/>
    <w:rsid w:val="00861D95"/>
    <w:rsid w:val="00862BB0"/>
    <w:rsid w:val="008645ED"/>
    <w:rsid w:val="00867A6B"/>
    <w:rsid w:val="0087108B"/>
    <w:rsid w:val="0087175A"/>
    <w:rsid w:val="00875813"/>
    <w:rsid w:val="00880340"/>
    <w:rsid w:val="008803EF"/>
    <w:rsid w:val="008834EC"/>
    <w:rsid w:val="00890500"/>
    <w:rsid w:val="00892916"/>
    <w:rsid w:val="00893C74"/>
    <w:rsid w:val="00893EAE"/>
    <w:rsid w:val="008A01C7"/>
    <w:rsid w:val="008A1C4A"/>
    <w:rsid w:val="008A4901"/>
    <w:rsid w:val="008A5569"/>
    <w:rsid w:val="008A5810"/>
    <w:rsid w:val="008A65EF"/>
    <w:rsid w:val="008B0E78"/>
    <w:rsid w:val="008B55D8"/>
    <w:rsid w:val="008B65A8"/>
    <w:rsid w:val="008B665A"/>
    <w:rsid w:val="008B66E8"/>
    <w:rsid w:val="008B69D7"/>
    <w:rsid w:val="008B7C4A"/>
    <w:rsid w:val="008C0755"/>
    <w:rsid w:val="008C098C"/>
    <w:rsid w:val="008C3F1F"/>
    <w:rsid w:val="008C4DD8"/>
    <w:rsid w:val="008C733F"/>
    <w:rsid w:val="008D55B2"/>
    <w:rsid w:val="008D62D7"/>
    <w:rsid w:val="008D723B"/>
    <w:rsid w:val="008E3B59"/>
    <w:rsid w:val="008F0568"/>
    <w:rsid w:val="008F1E51"/>
    <w:rsid w:val="008F60B9"/>
    <w:rsid w:val="008F7434"/>
    <w:rsid w:val="008F792C"/>
    <w:rsid w:val="009055C5"/>
    <w:rsid w:val="009057E9"/>
    <w:rsid w:val="00905B11"/>
    <w:rsid w:val="00906FE0"/>
    <w:rsid w:val="00907E97"/>
    <w:rsid w:val="00907FC9"/>
    <w:rsid w:val="00910107"/>
    <w:rsid w:val="009108A3"/>
    <w:rsid w:val="00913F4F"/>
    <w:rsid w:val="009176C6"/>
    <w:rsid w:val="00921F40"/>
    <w:rsid w:val="009233CF"/>
    <w:rsid w:val="00927D3E"/>
    <w:rsid w:val="0094310F"/>
    <w:rsid w:val="00943B4C"/>
    <w:rsid w:val="00944F89"/>
    <w:rsid w:val="00946DDC"/>
    <w:rsid w:val="009547E5"/>
    <w:rsid w:val="00954DA2"/>
    <w:rsid w:val="009606D0"/>
    <w:rsid w:val="00964F19"/>
    <w:rsid w:val="00966B53"/>
    <w:rsid w:val="009679FB"/>
    <w:rsid w:val="00970A59"/>
    <w:rsid w:val="00972A30"/>
    <w:rsid w:val="009861C6"/>
    <w:rsid w:val="0099056A"/>
    <w:rsid w:val="00992E81"/>
    <w:rsid w:val="00993ADB"/>
    <w:rsid w:val="00997137"/>
    <w:rsid w:val="00997A98"/>
    <w:rsid w:val="009A2578"/>
    <w:rsid w:val="009A33B2"/>
    <w:rsid w:val="009A5110"/>
    <w:rsid w:val="009B299E"/>
    <w:rsid w:val="009B30DA"/>
    <w:rsid w:val="009B48FE"/>
    <w:rsid w:val="009B4CF3"/>
    <w:rsid w:val="009B5C1D"/>
    <w:rsid w:val="009B7895"/>
    <w:rsid w:val="009C0F03"/>
    <w:rsid w:val="009C4996"/>
    <w:rsid w:val="009C68C2"/>
    <w:rsid w:val="009D293F"/>
    <w:rsid w:val="009D2995"/>
    <w:rsid w:val="009D341B"/>
    <w:rsid w:val="009D3F41"/>
    <w:rsid w:val="009D6910"/>
    <w:rsid w:val="009D6DB5"/>
    <w:rsid w:val="009E02DA"/>
    <w:rsid w:val="009E1D59"/>
    <w:rsid w:val="009E61D2"/>
    <w:rsid w:val="009F545B"/>
    <w:rsid w:val="00A0106F"/>
    <w:rsid w:val="00A01CF7"/>
    <w:rsid w:val="00A03136"/>
    <w:rsid w:val="00A04013"/>
    <w:rsid w:val="00A05EED"/>
    <w:rsid w:val="00A074FC"/>
    <w:rsid w:val="00A07B54"/>
    <w:rsid w:val="00A10149"/>
    <w:rsid w:val="00A10337"/>
    <w:rsid w:val="00A15C17"/>
    <w:rsid w:val="00A165CB"/>
    <w:rsid w:val="00A16B8E"/>
    <w:rsid w:val="00A2011D"/>
    <w:rsid w:val="00A23D31"/>
    <w:rsid w:val="00A23E66"/>
    <w:rsid w:val="00A278A8"/>
    <w:rsid w:val="00A3583C"/>
    <w:rsid w:val="00A37B95"/>
    <w:rsid w:val="00A40089"/>
    <w:rsid w:val="00A42BAF"/>
    <w:rsid w:val="00A439AB"/>
    <w:rsid w:val="00A4521D"/>
    <w:rsid w:val="00A506CA"/>
    <w:rsid w:val="00A508F5"/>
    <w:rsid w:val="00A515B8"/>
    <w:rsid w:val="00A6046D"/>
    <w:rsid w:val="00A60D58"/>
    <w:rsid w:val="00A626DC"/>
    <w:rsid w:val="00A641D6"/>
    <w:rsid w:val="00A66581"/>
    <w:rsid w:val="00A669E1"/>
    <w:rsid w:val="00A73092"/>
    <w:rsid w:val="00A74BFE"/>
    <w:rsid w:val="00A77A9B"/>
    <w:rsid w:val="00A80D66"/>
    <w:rsid w:val="00A82055"/>
    <w:rsid w:val="00A84E6E"/>
    <w:rsid w:val="00A91FD9"/>
    <w:rsid w:val="00A93411"/>
    <w:rsid w:val="00A95530"/>
    <w:rsid w:val="00A95B69"/>
    <w:rsid w:val="00AA1FE0"/>
    <w:rsid w:val="00AA4B3E"/>
    <w:rsid w:val="00AB079F"/>
    <w:rsid w:val="00AB40CE"/>
    <w:rsid w:val="00AC13C3"/>
    <w:rsid w:val="00AC3526"/>
    <w:rsid w:val="00AD722A"/>
    <w:rsid w:val="00AE0151"/>
    <w:rsid w:val="00AE0601"/>
    <w:rsid w:val="00AE6997"/>
    <w:rsid w:val="00AE75B8"/>
    <w:rsid w:val="00AF4063"/>
    <w:rsid w:val="00AF45C7"/>
    <w:rsid w:val="00AF464C"/>
    <w:rsid w:val="00B018BA"/>
    <w:rsid w:val="00B03E1A"/>
    <w:rsid w:val="00B041C4"/>
    <w:rsid w:val="00B069B5"/>
    <w:rsid w:val="00B06A26"/>
    <w:rsid w:val="00B109FE"/>
    <w:rsid w:val="00B123CC"/>
    <w:rsid w:val="00B134DC"/>
    <w:rsid w:val="00B16939"/>
    <w:rsid w:val="00B23586"/>
    <w:rsid w:val="00B26250"/>
    <w:rsid w:val="00B30908"/>
    <w:rsid w:val="00B30EAD"/>
    <w:rsid w:val="00B3212D"/>
    <w:rsid w:val="00B33EAA"/>
    <w:rsid w:val="00B3465B"/>
    <w:rsid w:val="00B36205"/>
    <w:rsid w:val="00B36A08"/>
    <w:rsid w:val="00B36ADF"/>
    <w:rsid w:val="00B37E76"/>
    <w:rsid w:val="00B42681"/>
    <w:rsid w:val="00B43829"/>
    <w:rsid w:val="00B43BC5"/>
    <w:rsid w:val="00B44EB3"/>
    <w:rsid w:val="00B45394"/>
    <w:rsid w:val="00B476E0"/>
    <w:rsid w:val="00B47926"/>
    <w:rsid w:val="00B53268"/>
    <w:rsid w:val="00B54312"/>
    <w:rsid w:val="00B57A33"/>
    <w:rsid w:val="00B6052C"/>
    <w:rsid w:val="00B70D81"/>
    <w:rsid w:val="00B713E5"/>
    <w:rsid w:val="00B7500D"/>
    <w:rsid w:val="00B8037B"/>
    <w:rsid w:val="00B92BBC"/>
    <w:rsid w:val="00B94BD2"/>
    <w:rsid w:val="00B94E38"/>
    <w:rsid w:val="00B9686F"/>
    <w:rsid w:val="00BA0088"/>
    <w:rsid w:val="00BA394E"/>
    <w:rsid w:val="00BA56C3"/>
    <w:rsid w:val="00BC28E8"/>
    <w:rsid w:val="00BC4AF2"/>
    <w:rsid w:val="00BD41D5"/>
    <w:rsid w:val="00BD4EA2"/>
    <w:rsid w:val="00BD5200"/>
    <w:rsid w:val="00BD7D69"/>
    <w:rsid w:val="00BD7E5F"/>
    <w:rsid w:val="00BE2F25"/>
    <w:rsid w:val="00BF28A6"/>
    <w:rsid w:val="00BF552F"/>
    <w:rsid w:val="00C00744"/>
    <w:rsid w:val="00C00D2E"/>
    <w:rsid w:val="00C026CE"/>
    <w:rsid w:val="00C033B7"/>
    <w:rsid w:val="00C04099"/>
    <w:rsid w:val="00C05A68"/>
    <w:rsid w:val="00C06E7F"/>
    <w:rsid w:val="00C113CC"/>
    <w:rsid w:val="00C122BA"/>
    <w:rsid w:val="00C15C0F"/>
    <w:rsid w:val="00C17DF4"/>
    <w:rsid w:val="00C23015"/>
    <w:rsid w:val="00C24791"/>
    <w:rsid w:val="00C27EFE"/>
    <w:rsid w:val="00C3041D"/>
    <w:rsid w:val="00C31EC6"/>
    <w:rsid w:val="00C331D7"/>
    <w:rsid w:val="00C339FD"/>
    <w:rsid w:val="00C34BA7"/>
    <w:rsid w:val="00C35BB5"/>
    <w:rsid w:val="00C4037D"/>
    <w:rsid w:val="00C40A00"/>
    <w:rsid w:val="00C463C0"/>
    <w:rsid w:val="00C468E4"/>
    <w:rsid w:val="00C47368"/>
    <w:rsid w:val="00C52298"/>
    <w:rsid w:val="00C54381"/>
    <w:rsid w:val="00C54507"/>
    <w:rsid w:val="00C54A00"/>
    <w:rsid w:val="00C5739A"/>
    <w:rsid w:val="00C60310"/>
    <w:rsid w:val="00C73CB9"/>
    <w:rsid w:val="00C74159"/>
    <w:rsid w:val="00C83FF0"/>
    <w:rsid w:val="00C869FC"/>
    <w:rsid w:val="00C973FD"/>
    <w:rsid w:val="00CA0A2A"/>
    <w:rsid w:val="00CA2E2A"/>
    <w:rsid w:val="00CA74D1"/>
    <w:rsid w:val="00CB123F"/>
    <w:rsid w:val="00CC0276"/>
    <w:rsid w:val="00CC10EA"/>
    <w:rsid w:val="00CC25C3"/>
    <w:rsid w:val="00CC43EC"/>
    <w:rsid w:val="00CC51D2"/>
    <w:rsid w:val="00CC6EE8"/>
    <w:rsid w:val="00CD6EEB"/>
    <w:rsid w:val="00CE16E6"/>
    <w:rsid w:val="00CF3ACA"/>
    <w:rsid w:val="00CF4472"/>
    <w:rsid w:val="00CF57A3"/>
    <w:rsid w:val="00CF5BF5"/>
    <w:rsid w:val="00CF6A33"/>
    <w:rsid w:val="00CF7DA5"/>
    <w:rsid w:val="00D01C27"/>
    <w:rsid w:val="00D02592"/>
    <w:rsid w:val="00D11DC5"/>
    <w:rsid w:val="00D209A6"/>
    <w:rsid w:val="00D21A68"/>
    <w:rsid w:val="00D2246E"/>
    <w:rsid w:val="00D22B50"/>
    <w:rsid w:val="00D23A1C"/>
    <w:rsid w:val="00D256E6"/>
    <w:rsid w:val="00D40EEB"/>
    <w:rsid w:val="00D433E4"/>
    <w:rsid w:val="00D44CD6"/>
    <w:rsid w:val="00D5076A"/>
    <w:rsid w:val="00D508D6"/>
    <w:rsid w:val="00D519AA"/>
    <w:rsid w:val="00D51F21"/>
    <w:rsid w:val="00D52AAF"/>
    <w:rsid w:val="00D536CB"/>
    <w:rsid w:val="00D54D5A"/>
    <w:rsid w:val="00D54FBB"/>
    <w:rsid w:val="00D5518F"/>
    <w:rsid w:val="00D57037"/>
    <w:rsid w:val="00D5705D"/>
    <w:rsid w:val="00D5712F"/>
    <w:rsid w:val="00D61485"/>
    <w:rsid w:val="00D617B4"/>
    <w:rsid w:val="00D62555"/>
    <w:rsid w:val="00D6513A"/>
    <w:rsid w:val="00D669DD"/>
    <w:rsid w:val="00D66DA3"/>
    <w:rsid w:val="00D66EA0"/>
    <w:rsid w:val="00D67A55"/>
    <w:rsid w:val="00D706D7"/>
    <w:rsid w:val="00D70717"/>
    <w:rsid w:val="00D70923"/>
    <w:rsid w:val="00D71170"/>
    <w:rsid w:val="00D71DC0"/>
    <w:rsid w:val="00D73349"/>
    <w:rsid w:val="00D74882"/>
    <w:rsid w:val="00D8112A"/>
    <w:rsid w:val="00D8119E"/>
    <w:rsid w:val="00D828E8"/>
    <w:rsid w:val="00D85843"/>
    <w:rsid w:val="00D87AFB"/>
    <w:rsid w:val="00D9124A"/>
    <w:rsid w:val="00D91811"/>
    <w:rsid w:val="00D93892"/>
    <w:rsid w:val="00D9400A"/>
    <w:rsid w:val="00DA084C"/>
    <w:rsid w:val="00DA1455"/>
    <w:rsid w:val="00DA29EC"/>
    <w:rsid w:val="00DA49E9"/>
    <w:rsid w:val="00DA50A7"/>
    <w:rsid w:val="00DB0F18"/>
    <w:rsid w:val="00DB1676"/>
    <w:rsid w:val="00DB2205"/>
    <w:rsid w:val="00DB274D"/>
    <w:rsid w:val="00DB5B25"/>
    <w:rsid w:val="00DC0295"/>
    <w:rsid w:val="00DC0DAC"/>
    <w:rsid w:val="00DC1776"/>
    <w:rsid w:val="00DC75DF"/>
    <w:rsid w:val="00DD0EC9"/>
    <w:rsid w:val="00DD2E6E"/>
    <w:rsid w:val="00DD326A"/>
    <w:rsid w:val="00DD3A7A"/>
    <w:rsid w:val="00DD3F5E"/>
    <w:rsid w:val="00DD4055"/>
    <w:rsid w:val="00DE1E32"/>
    <w:rsid w:val="00DE7AC4"/>
    <w:rsid w:val="00DF54AF"/>
    <w:rsid w:val="00DF5B36"/>
    <w:rsid w:val="00DF61F6"/>
    <w:rsid w:val="00DF72B1"/>
    <w:rsid w:val="00E00B52"/>
    <w:rsid w:val="00E00D1B"/>
    <w:rsid w:val="00E0106A"/>
    <w:rsid w:val="00E020E4"/>
    <w:rsid w:val="00E02196"/>
    <w:rsid w:val="00E02EC1"/>
    <w:rsid w:val="00E14245"/>
    <w:rsid w:val="00E15032"/>
    <w:rsid w:val="00E1509F"/>
    <w:rsid w:val="00E156B6"/>
    <w:rsid w:val="00E16870"/>
    <w:rsid w:val="00E1759C"/>
    <w:rsid w:val="00E17FE2"/>
    <w:rsid w:val="00E20A18"/>
    <w:rsid w:val="00E3127F"/>
    <w:rsid w:val="00E3274B"/>
    <w:rsid w:val="00E37E1C"/>
    <w:rsid w:val="00E426E5"/>
    <w:rsid w:val="00E45059"/>
    <w:rsid w:val="00E46BCD"/>
    <w:rsid w:val="00E50C16"/>
    <w:rsid w:val="00E51412"/>
    <w:rsid w:val="00E51CD9"/>
    <w:rsid w:val="00E61A6A"/>
    <w:rsid w:val="00E63EE1"/>
    <w:rsid w:val="00E72399"/>
    <w:rsid w:val="00E72542"/>
    <w:rsid w:val="00E75A08"/>
    <w:rsid w:val="00E81F43"/>
    <w:rsid w:val="00E84C51"/>
    <w:rsid w:val="00E867DD"/>
    <w:rsid w:val="00E86CDE"/>
    <w:rsid w:val="00E90761"/>
    <w:rsid w:val="00E91F7C"/>
    <w:rsid w:val="00E9323E"/>
    <w:rsid w:val="00E935BB"/>
    <w:rsid w:val="00E937C1"/>
    <w:rsid w:val="00E95187"/>
    <w:rsid w:val="00E97CBB"/>
    <w:rsid w:val="00EA7ACF"/>
    <w:rsid w:val="00EB6E6E"/>
    <w:rsid w:val="00EC0C97"/>
    <w:rsid w:val="00EC2274"/>
    <w:rsid w:val="00EC2D50"/>
    <w:rsid w:val="00EC30EA"/>
    <w:rsid w:val="00EC3BEF"/>
    <w:rsid w:val="00EC4D83"/>
    <w:rsid w:val="00EC4F72"/>
    <w:rsid w:val="00EE389F"/>
    <w:rsid w:val="00EE3FFA"/>
    <w:rsid w:val="00EE54BF"/>
    <w:rsid w:val="00EE72BE"/>
    <w:rsid w:val="00EF4181"/>
    <w:rsid w:val="00EF4A96"/>
    <w:rsid w:val="00EF4D6A"/>
    <w:rsid w:val="00EF4E61"/>
    <w:rsid w:val="00EF6464"/>
    <w:rsid w:val="00EF6E98"/>
    <w:rsid w:val="00F016A4"/>
    <w:rsid w:val="00F01F29"/>
    <w:rsid w:val="00F039D6"/>
    <w:rsid w:val="00F03B9F"/>
    <w:rsid w:val="00F107AB"/>
    <w:rsid w:val="00F10B3D"/>
    <w:rsid w:val="00F13CDF"/>
    <w:rsid w:val="00F1460A"/>
    <w:rsid w:val="00F200B9"/>
    <w:rsid w:val="00F20C6B"/>
    <w:rsid w:val="00F22021"/>
    <w:rsid w:val="00F2238E"/>
    <w:rsid w:val="00F26FEF"/>
    <w:rsid w:val="00F3364E"/>
    <w:rsid w:val="00F35053"/>
    <w:rsid w:val="00F35225"/>
    <w:rsid w:val="00F374DE"/>
    <w:rsid w:val="00F40DA5"/>
    <w:rsid w:val="00F47241"/>
    <w:rsid w:val="00F53FF1"/>
    <w:rsid w:val="00F54221"/>
    <w:rsid w:val="00F5423D"/>
    <w:rsid w:val="00F54915"/>
    <w:rsid w:val="00F55E33"/>
    <w:rsid w:val="00F60A4E"/>
    <w:rsid w:val="00F618E3"/>
    <w:rsid w:val="00F61BE8"/>
    <w:rsid w:val="00F61D8D"/>
    <w:rsid w:val="00F671BA"/>
    <w:rsid w:val="00F6749E"/>
    <w:rsid w:val="00F7352E"/>
    <w:rsid w:val="00F762AE"/>
    <w:rsid w:val="00F76E3D"/>
    <w:rsid w:val="00F81C37"/>
    <w:rsid w:val="00F91056"/>
    <w:rsid w:val="00F93D16"/>
    <w:rsid w:val="00FA13B9"/>
    <w:rsid w:val="00FA1DF3"/>
    <w:rsid w:val="00FB6FE1"/>
    <w:rsid w:val="00FC0457"/>
    <w:rsid w:val="00FC15D3"/>
    <w:rsid w:val="00FC5808"/>
    <w:rsid w:val="00FD347E"/>
    <w:rsid w:val="00FD6B03"/>
    <w:rsid w:val="00FD750C"/>
    <w:rsid w:val="00FE4359"/>
    <w:rsid w:val="00FE493C"/>
    <w:rsid w:val="00FE5656"/>
    <w:rsid w:val="00FF10CE"/>
    <w:rsid w:val="00FF5742"/>
    <w:rsid w:val="00FF65AA"/>
    <w:rsid w:val="024D1BF9"/>
    <w:rsid w:val="0330516D"/>
    <w:rsid w:val="03E98BC3"/>
    <w:rsid w:val="08E2275F"/>
    <w:rsid w:val="0AEF2F45"/>
    <w:rsid w:val="0AF1A8BC"/>
    <w:rsid w:val="0E5EC4DF"/>
    <w:rsid w:val="0E671E48"/>
    <w:rsid w:val="0EBF6A9B"/>
    <w:rsid w:val="1A960903"/>
    <w:rsid w:val="1B89D3F3"/>
    <w:rsid w:val="1D246CB0"/>
    <w:rsid w:val="1E2B37C7"/>
    <w:rsid w:val="23165686"/>
    <w:rsid w:val="260079B6"/>
    <w:rsid w:val="2843AD73"/>
    <w:rsid w:val="2A2CD188"/>
    <w:rsid w:val="2BEA439E"/>
    <w:rsid w:val="2D472ED0"/>
    <w:rsid w:val="302006C3"/>
    <w:rsid w:val="302DD50B"/>
    <w:rsid w:val="3113A5A8"/>
    <w:rsid w:val="33FBD453"/>
    <w:rsid w:val="3812C98A"/>
    <w:rsid w:val="38F64EAB"/>
    <w:rsid w:val="3976DCD2"/>
    <w:rsid w:val="3A11483E"/>
    <w:rsid w:val="3C8716C6"/>
    <w:rsid w:val="3D696BA0"/>
    <w:rsid w:val="414556EE"/>
    <w:rsid w:val="45A0D40E"/>
    <w:rsid w:val="46C2E9CF"/>
    <w:rsid w:val="46E2FD15"/>
    <w:rsid w:val="472091F7"/>
    <w:rsid w:val="4A30B8D8"/>
    <w:rsid w:val="4BBF4528"/>
    <w:rsid w:val="4E07984D"/>
    <w:rsid w:val="4F3B193F"/>
    <w:rsid w:val="5125EB10"/>
    <w:rsid w:val="5373D7DD"/>
    <w:rsid w:val="586503E9"/>
    <w:rsid w:val="5BC5ECA0"/>
    <w:rsid w:val="5C0B4713"/>
    <w:rsid w:val="5F22EEA9"/>
    <w:rsid w:val="5FB62AB9"/>
    <w:rsid w:val="606333E3"/>
    <w:rsid w:val="60CBA564"/>
    <w:rsid w:val="68A5F357"/>
    <w:rsid w:val="6C771CCE"/>
    <w:rsid w:val="705AC36A"/>
    <w:rsid w:val="70B07D97"/>
    <w:rsid w:val="71333B87"/>
    <w:rsid w:val="7254D48A"/>
    <w:rsid w:val="777BAA54"/>
    <w:rsid w:val="7983ADAA"/>
    <w:rsid w:val="7B3F8123"/>
    <w:rsid w:val="7B615AC6"/>
    <w:rsid w:val="7FF4EF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CA66"/>
  <w15:chartTrackingRefBased/>
  <w15:docId w15:val="{14C3A496-9D23-4724-BF36-12421BB0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F8"/>
    <w:pPr>
      <w:spacing w:before="60" w:after="60" w:line="240" w:lineRule="auto"/>
    </w:pPr>
    <w:rPr>
      <w:rFonts w:ascii="Segoe UI" w:hAnsi="Segoe UI" w:cs="Segoe UI"/>
      <w:sz w:val="20"/>
      <w:szCs w:val="20"/>
      <w:lang w:val="en-GB"/>
    </w:rPr>
  </w:style>
  <w:style w:type="paragraph" w:styleId="Heading1">
    <w:name w:val="heading 1"/>
    <w:aliases w:val="MoH Heading 1"/>
    <w:basedOn w:val="Normal"/>
    <w:next w:val="Normal"/>
    <w:link w:val="Heading1Char"/>
    <w:uiPriority w:val="9"/>
    <w:qFormat/>
    <w:rsid w:val="00F1460A"/>
    <w:pPr>
      <w:keepNext/>
      <w:spacing w:before="360" w:after="240"/>
      <w:outlineLvl w:val="0"/>
    </w:pPr>
    <w:rPr>
      <w:rFonts w:eastAsia="Times New Roman" w:cs="Times New Roman"/>
      <w:b/>
      <w:color w:val="002060"/>
      <w:spacing w:val="-5"/>
      <w:sz w:val="72"/>
      <w:szCs w:val="72"/>
      <w:lang w:eastAsia="en-GB"/>
    </w:rPr>
  </w:style>
  <w:style w:type="paragraph" w:styleId="Heading2">
    <w:name w:val="heading 2"/>
    <w:basedOn w:val="Normal"/>
    <w:next w:val="Normal"/>
    <w:link w:val="Heading2Char"/>
    <w:uiPriority w:val="9"/>
    <w:unhideWhenUsed/>
    <w:qFormat/>
    <w:rsid w:val="00F1460A"/>
    <w:pPr>
      <w:keepNext/>
      <w:keepLines/>
      <w:autoSpaceDE w:val="0"/>
      <w:autoSpaceDN w:val="0"/>
      <w:adjustRightInd w:val="0"/>
      <w:outlineLvl w:val="1"/>
    </w:pPr>
    <w:rPr>
      <w:rFonts w:eastAsiaTheme="majorEastAsia"/>
      <w:b/>
      <w:bCs/>
      <w:color w:val="2F5496" w:themeColor="accent1" w:themeShade="BF"/>
      <w:sz w:val="40"/>
      <w:szCs w:val="40"/>
      <w:lang w:eastAsia="en-GB"/>
    </w:rPr>
  </w:style>
  <w:style w:type="paragraph" w:styleId="Heading3">
    <w:name w:val="heading 3"/>
    <w:basedOn w:val="Normal"/>
    <w:next w:val="Normal"/>
    <w:link w:val="Heading3Char"/>
    <w:uiPriority w:val="9"/>
    <w:unhideWhenUsed/>
    <w:qFormat/>
    <w:rsid w:val="006C7BD7"/>
    <w:pPr>
      <w:keepNext/>
      <w:keepLines/>
      <w:spacing w:before="120" w:after="120"/>
      <w:outlineLvl w:val="2"/>
    </w:pPr>
    <w:rPr>
      <w:rFonts w:eastAsiaTheme="majorEastAsia"/>
      <w:b/>
      <w:bCs/>
      <w:color w:val="1F3763" w:themeColor="accent1" w:themeShade="7F"/>
      <w:sz w:val="22"/>
      <w:szCs w:val="22"/>
      <w:lang w:eastAsia="en-GB"/>
    </w:rPr>
  </w:style>
  <w:style w:type="paragraph" w:styleId="Heading4">
    <w:name w:val="heading 4"/>
    <w:basedOn w:val="Normal"/>
    <w:next w:val="Normal"/>
    <w:link w:val="Heading4Char"/>
    <w:uiPriority w:val="9"/>
    <w:unhideWhenUsed/>
    <w:qFormat/>
    <w:rsid w:val="00323AFE"/>
    <w:pPr>
      <w:keepNext/>
      <w:keepLines/>
      <w:spacing w:before="40" w:after="0"/>
      <w:outlineLvl w:val="3"/>
    </w:pPr>
    <w:rPr>
      <w:rFonts w:asciiTheme="majorHAnsi" w:eastAsiaTheme="majorEastAsia" w:hAnsiTheme="majorHAnsi" w:cstheme="majorBidi"/>
      <w:b/>
      <w:bCs/>
      <w:color w:val="2F5496" w:themeColor="accent1" w:themeShade="BF"/>
      <w:sz w:val="18"/>
    </w:rPr>
  </w:style>
  <w:style w:type="paragraph" w:styleId="Heading5">
    <w:name w:val="heading 5"/>
    <w:basedOn w:val="Normal"/>
    <w:next w:val="Normal"/>
    <w:link w:val="Heading5Char"/>
    <w:uiPriority w:val="9"/>
    <w:unhideWhenUsed/>
    <w:qFormat/>
    <w:rsid w:val="00323A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aliases w:val="0 Grid Table 1 Light,Ministry table"/>
    <w:basedOn w:val="TableNormal"/>
    <w:uiPriority w:val="46"/>
    <w:rsid w:val="00F22021"/>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Heading1Char">
    <w:name w:val="Heading 1 Char"/>
    <w:aliases w:val="MoH Heading 1 Char"/>
    <w:basedOn w:val="DefaultParagraphFont"/>
    <w:link w:val="Heading1"/>
    <w:uiPriority w:val="9"/>
    <w:rsid w:val="00F1460A"/>
    <w:rPr>
      <w:rFonts w:ascii="Segoe UI" w:eastAsia="Times New Roman" w:hAnsi="Segoe UI" w:cs="Times New Roman"/>
      <w:b/>
      <w:color w:val="002060"/>
      <w:spacing w:val="-5"/>
      <w:sz w:val="72"/>
      <w:szCs w:val="72"/>
      <w:lang w:eastAsia="en-GB"/>
    </w:rPr>
  </w:style>
  <w:style w:type="character" w:customStyle="1" w:styleId="Heading2Char">
    <w:name w:val="Heading 2 Char"/>
    <w:basedOn w:val="DefaultParagraphFont"/>
    <w:link w:val="Heading2"/>
    <w:uiPriority w:val="9"/>
    <w:rsid w:val="00F1460A"/>
    <w:rPr>
      <w:rFonts w:ascii="Segoe UI" w:eastAsiaTheme="majorEastAsia" w:hAnsi="Segoe UI" w:cs="Segoe UI"/>
      <w:b/>
      <w:bCs/>
      <w:color w:val="2F5496" w:themeColor="accent1" w:themeShade="BF"/>
      <w:sz w:val="40"/>
      <w:szCs w:val="40"/>
      <w:lang w:eastAsia="en-GB"/>
    </w:rPr>
  </w:style>
  <w:style w:type="paragraph" w:customStyle="1" w:styleId="Heading21nonumber">
    <w:name w:val="Heading 2.1 no number"/>
    <w:basedOn w:val="Heading2"/>
    <w:qFormat/>
    <w:rsid w:val="004D05A9"/>
    <w:pPr>
      <w:keepLines w:val="0"/>
      <w:autoSpaceDE/>
      <w:autoSpaceDN/>
      <w:adjustRightInd/>
      <w:spacing w:before="240" w:line="440" w:lineRule="atLeast"/>
    </w:pPr>
    <w:rPr>
      <w:rFonts w:eastAsia="Times New Roman" w:cs="Times New Roman"/>
      <w:color w:val="0A6AB4"/>
      <w:spacing w:val="-5"/>
      <w:sz w:val="48"/>
      <w:szCs w:val="44"/>
    </w:rPr>
  </w:style>
  <w:style w:type="table" w:styleId="PlainTable2">
    <w:name w:val="Plain Table 2"/>
    <w:basedOn w:val="TableNormal"/>
    <w:uiPriority w:val="42"/>
    <w:rsid w:val="00AD722A"/>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
    <w:name w:val="Ministry table1"/>
    <w:basedOn w:val="TableNormal"/>
    <w:next w:val="GridTable1Light"/>
    <w:uiPriority w:val="46"/>
    <w:rsid w:val="00D54FBB"/>
    <w:pPr>
      <w:spacing w:before="60" w:after="60" w:line="280" w:lineRule="atLeast"/>
    </w:pPr>
    <w:rPr>
      <w:rFonts w:ascii="Segoe UI" w:hAnsi="Segoe UI"/>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paragraph" w:styleId="NoSpacing">
    <w:name w:val="No Spacing"/>
    <w:uiPriority w:val="1"/>
    <w:qFormat/>
    <w:rsid w:val="009F545B"/>
    <w:pPr>
      <w:spacing w:after="0" w:line="240" w:lineRule="auto"/>
    </w:pPr>
  </w:style>
  <w:style w:type="character" w:styleId="Hyperlink">
    <w:name w:val="Hyperlink"/>
    <w:basedOn w:val="DefaultParagraphFont"/>
    <w:uiPriority w:val="99"/>
    <w:unhideWhenUsed/>
    <w:rsid w:val="009F545B"/>
    <w:rPr>
      <w:color w:val="0563C1" w:themeColor="hyperlink"/>
      <w:u w:val="single"/>
    </w:rPr>
  </w:style>
  <w:style w:type="paragraph" w:styleId="ListParagraph">
    <w:name w:val="List Paragraph"/>
    <w:basedOn w:val="Normal"/>
    <w:uiPriority w:val="34"/>
    <w:qFormat/>
    <w:rsid w:val="001D48F8"/>
    <w:pPr>
      <w:numPr>
        <w:ilvl w:val="1"/>
        <w:numId w:val="10"/>
      </w:numPr>
      <w:ind w:left="1434" w:hanging="357"/>
    </w:pPr>
    <w:rPr>
      <w:lang w:val="en-NZ"/>
    </w:rPr>
  </w:style>
  <w:style w:type="character" w:styleId="UnresolvedMention">
    <w:name w:val="Unresolved Mention"/>
    <w:basedOn w:val="DefaultParagraphFont"/>
    <w:uiPriority w:val="99"/>
    <w:semiHidden/>
    <w:unhideWhenUsed/>
    <w:rsid w:val="007A74DA"/>
    <w:rPr>
      <w:color w:val="605E5C"/>
      <w:shd w:val="clear" w:color="auto" w:fill="E1DFDD"/>
    </w:rPr>
  </w:style>
  <w:style w:type="character" w:customStyle="1" w:styleId="Heading3Char">
    <w:name w:val="Heading 3 Char"/>
    <w:basedOn w:val="DefaultParagraphFont"/>
    <w:link w:val="Heading3"/>
    <w:uiPriority w:val="9"/>
    <w:rsid w:val="006C7BD7"/>
    <w:rPr>
      <w:rFonts w:ascii="Segoe UI" w:eastAsiaTheme="majorEastAsia" w:hAnsi="Segoe UI" w:cs="Segoe UI"/>
      <w:b/>
      <w:bCs/>
      <w:color w:val="1F3763" w:themeColor="accent1" w:themeShade="7F"/>
      <w:lang w:val="en-GB" w:eastAsia="en-GB"/>
    </w:rPr>
  </w:style>
  <w:style w:type="paragraph" w:customStyle="1" w:styleId="reportbody2-moh">
    <w:name w:val="reportbody2-moh"/>
    <w:basedOn w:val="Normal"/>
    <w:rsid w:val="00D9124A"/>
    <w:pPr>
      <w:spacing w:line="280" w:lineRule="atLeast"/>
      <w:ind w:left="567" w:hanging="283"/>
    </w:pPr>
    <w:rPr>
      <w:sz w:val="21"/>
      <w:szCs w:val="21"/>
      <w:lang w:eastAsia="en-NZ"/>
    </w:rPr>
  </w:style>
  <w:style w:type="character" w:styleId="CommentReference">
    <w:name w:val="annotation reference"/>
    <w:basedOn w:val="DefaultParagraphFont"/>
    <w:uiPriority w:val="99"/>
    <w:semiHidden/>
    <w:unhideWhenUsed/>
    <w:rsid w:val="002E37E5"/>
    <w:rPr>
      <w:sz w:val="16"/>
      <w:szCs w:val="16"/>
    </w:rPr>
  </w:style>
  <w:style w:type="paragraph" w:styleId="CommentText">
    <w:name w:val="annotation text"/>
    <w:basedOn w:val="Normal"/>
    <w:link w:val="CommentTextChar"/>
    <w:uiPriority w:val="99"/>
    <w:semiHidden/>
    <w:unhideWhenUsed/>
    <w:rsid w:val="002E37E5"/>
    <w:pPr>
      <w:spacing w:after="0"/>
    </w:pPr>
    <w:rPr>
      <w:rFonts w:ascii="Calibri" w:hAnsi="Calibri" w:cs="Calibri"/>
      <w:lang w:eastAsia="en-NZ"/>
    </w:rPr>
  </w:style>
  <w:style w:type="character" w:customStyle="1" w:styleId="CommentTextChar">
    <w:name w:val="Comment Text Char"/>
    <w:basedOn w:val="DefaultParagraphFont"/>
    <w:link w:val="CommentText"/>
    <w:uiPriority w:val="99"/>
    <w:semiHidden/>
    <w:rsid w:val="002E37E5"/>
    <w:rPr>
      <w:rFonts w:ascii="Calibri" w:hAnsi="Calibri" w:cs="Calibri"/>
      <w:sz w:val="20"/>
      <w:szCs w:val="20"/>
      <w:lang w:eastAsia="en-NZ"/>
    </w:rPr>
  </w:style>
  <w:style w:type="paragraph" w:customStyle="1" w:styleId="Covertitle">
    <w:name w:val="Cover title"/>
    <w:rsid w:val="00160476"/>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160476"/>
    <w:pPr>
      <w:spacing w:line="520" w:lineRule="atLeast"/>
    </w:pPr>
    <w:rPr>
      <w:rFonts w:ascii="Segoe UI" w:eastAsia="Times New Roman" w:hAnsi="Segoe UI" w:cs="Times New Roman"/>
      <w:b/>
      <w:bCs/>
      <w:color w:val="000000" w:themeColor="text1"/>
      <w:spacing w:val="-5"/>
      <w:sz w:val="44"/>
      <w:szCs w:val="44"/>
      <w:lang w:eastAsia="en-GB"/>
    </w:rPr>
  </w:style>
  <w:style w:type="character" w:customStyle="1" w:styleId="Heading4Char">
    <w:name w:val="Heading 4 Char"/>
    <w:basedOn w:val="DefaultParagraphFont"/>
    <w:link w:val="Heading4"/>
    <w:uiPriority w:val="9"/>
    <w:rsid w:val="00323AFE"/>
    <w:rPr>
      <w:rFonts w:asciiTheme="majorHAnsi" w:eastAsiaTheme="majorEastAsia" w:hAnsiTheme="majorHAnsi" w:cstheme="majorBidi"/>
      <w:b/>
      <w:bCs/>
      <w:color w:val="2F5496" w:themeColor="accent1" w:themeShade="BF"/>
      <w:sz w:val="18"/>
      <w:szCs w:val="20"/>
    </w:rPr>
  </w:style>
  <w:style w:type="paragraph" w:styleId="CommentSubject">
    <w:name w:val="annotation subject"/>
    <w:basedOn w:val="CommentText"/>
    <w:next w:val="CommentText"/>
    <w:link w:val="CommentSubjectChar"/>
    <w:uiPriority w:val="99"/>
    <w:semiHidden/>
    <w:unhideWhenUsed/>
    <w:rsid w:val="005B1A7F"/>
    <w:pPr>
      <w:spacing w:after="120"/>
    </w:pPr>
    <w:rPr>
      <w:rFonts w:ascii="Segoe UI" w:hAnsi="Segoe UI" w:cs="Segoe UI"/>
      <w:b/>
      <w:bCs/>
      <w:lang w:eastAsia="en-US"/>
    </w:rPr>
  </w:style>
  <w:style w:type="character" w:customStyle="1" w:styleId="CommentSubjectChar">
    <w:name w:val="Comment Subject Char"/>
    <w:basedOn w:val="CommentTextChar"/>
    <w:link w:val="CommentSubject"/>
    <w:uiPriority w:val="99"/>
    <w:semiHidden/>
    <w:rsid w:val="005B1A7F"/>
    <w:rPr>
      <w:rFonts w:ascii="Segoe UI" w:hAnsi="Segoe UI" w:cs="Segoe UI"/>
      <w:b/>
      <w:bCs/>
      <w:sz w:val="20"/>
      <w:szCs w:val="20"/>
      <w:lang w:eastAsia="en-NZ"/>
    </w:rPr>
  </w:style>
  <w:style w:type="character" w:customStyle="1" w:styleId="Heading5Char">
    <w:name w:val="Heading 5 Char"/>
    <w:basedOn w:val="DefaultParagraphFont"/>
    <w:link w:val="Heading5"/>
    <w:uiPriority w:val="9"/>
    <w:rsid w:val="00323AFE"/>
    <w:rPr>
      <w:rFonts w:asciiTheme="majorHAnsi" w:eastAsiaTheme="majorEastAsia" w:hAnsiTheme="majorHAnsi" w:cstheme="majorBidi"/>
      <w:color w:val="2F5496" w:themeColor="accent1" w:themeShade="BF"/>
    </w:rPr>
  </w:style>
  <w:style w:type="table" w:customStyle="1" w:styleId="Ministrytable11">
    <w:name w:val="Ministry table11"/>
    <w:basedOn w:val="TableNormal"/>
    <w:next w:val="GridTable1Light"/>
    <w:uiPriority w:val="46"/>
    <w:rsid w:val="00A23E66"/>
    <w:pPr>
      <w:spacing w:before="60" w:after="60" w:line="280" w:lineRule="atLeast"/>
    </w:pPr>
    <w:rPr>
      <w:rFonts w:ascii="Segoe UI" w:hAnsi="Segoe UI"/>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CF4472"/>
    <w:pPr>
      <w:spacing w:before="0" w:after="0"/>
    </w:pPr>
  </w:style>
  <w:style w:type="character" w:customStyle="1" w:styleId="FootnoteTextChar">
    <w:name w:val="Footnote Text Char"/>
    <w:basedOn w:val="DefaultParagraphFont"/>
    <w:link w:val="FootnoteText"/>
    <w:uiPriority w:val="99"/>
    <w:semiHidden/>
    <w:rsid w:val="00CF4472"/>
    <w:rPr>
      <w:rFonts w:ascii="Segoe UI" w:hAnsi="Segoe UI" w:cs="Segoe UI"/>
      <w:sz w:val="20"/>
      <w:szCs w:val="20"/>
      <w:lang w:val="en-GB"/>
    </w:rPr>
  </w:style>
  <w:style w:type="character" w:styleId="FootnoteReference">
    <w:name w:val="footnote reference"/>
    <w:basedOn w:val="DefaultParagraphFont"/>
    <w:uiPriority w:val="99"/>
    <w:unhideWhenUsed/>
    <w:rsid w:val="00CF4472"/>
    <w:rPr>
      <w:vertAlign w:val="superscript"/>
    </w:rPr>
  </w:style>
  <w:style w:type="paragraph" w:styleId="Header">
    <w:name w:val="header"/>
    <w:basedOn w:val="Normal"/>
    <w:link w:val="HeaderChar"/>
    <w:uiPriority w:val="99"/>
    <w:semiHidden/>
    <w:unhideWhenUsed/>
    <w:rsid w:val="001A199D"/>
    <w:pPr>
      <w:tabs>
        <w:tab w:val="center" w:pos="4680"/>
        <w:tab w:val="right" w:pos="9360"/>
      </w:tabs>
      <w:spacing w:before="0" w:after="0"/>
    </w:pPr>
  </w:style>
  <w:style w:type="character" w:customStyle="1" w:styleId="HeaderChar">
    <w:name w:val="Header Char"/>
    <w:basedOn w:val="DefaultParagraphFont"/>
    <w:link w:val="Header"/>
    <w:uiPriority w:val="99"/>
    <w:semiHidden/>
    <w:rsid w:val="006B7E56"/>
    <w:rPr>
      <w:rFonts w:ascii="Segoe UI" w:hAnsi="Segoe UI" w:cs="Segoe UI"/>
      <w:sz w:val="20"/>
      <w:szCs w:val="20"/>
      <w:lang w:val="en-GB"/>
    </w:rPr>
  </w:style>
  <w:style w:type="paragraph" w:styleId="Footer">
    <w:name w:val="footer"/>
    <w:basedOn w:val="Normal"/>
    <w:link w:val="FooterChar"/>
    <w:uiPriority w:val="99"/>
    <w:semiHidden/>
    <w:unhideWhenUsed/>
    <w:rsid w:val="001A199D"/>
    <w:pPr>
      <w:tabs>
        <w:tab w:val="center" w:pos="4680"/>
        <w:tab w:val="right" w:pos="9360"/>
      </w:tabs>
      <w:spacing w:before="0" w:after="0"/>
    </w:pPr>
  </w:style>
  <w:style w:type="character" w:customStyle="1" w:styleId="FooterChar">
    <w:name w:val="Footer Char"/>
    <w:basedOn w:val="DefaultParagraphFont"/>
    <w:link w:val="Footer"/>
    <w:uiPriority w:val="99"/>
    <w:semiHidden/>
    <w:rsid w:val="006B7E56"/>
    <w:rPr>
      <w:rFonts w:ascii="Segoe UI" w:hAnsi="Segoe UI" w:cs="Segoe UI"/>
      <w:sz w:val="20"/>
      <w:szCs w:val="20"/>
      <w:lang w:val="en-GB"/>
    </w:rPr>
  </w:style>
  <w:style w:type="paragraph" w:customStyle="1" w:styleId="TableText">
    <w:name w:val="TableText"/>
    <w:basedOn w:val="Normal"/>
    <w:qFormat/>
    <w:rsid w:val="00D71170"/>
    <w:rPr>
      <w:rFonts w:eastAsia="Times New Roman" w:cs="Times New Roman"/>
      <w:sz w:val="18"/>
      <w:lang w:val="en-NZ" w:eastAsia="en-GB"/>
    </w:rPr>
  </w:style>
  <w:style w:type="paragraph" w:styleId="TOCHeading">
    <w:name w:val="TOC Heading"/>
    <w:basedOn w:val="Heading1"/>
    <w:next w:val="Normal"/>
    <w:uiPriority w:val="39"/>
    <w:unhideWhenUsed/>
    <w:qFormat/>
    <w:rsid w:val="000713CA"/>
    <w:pPr>
      <w:keepLines/>
      <w:spacing w:before="240" w:after="0" w:line="259" w:lineRule="auto"/>
      <w:outlineLvl w:val="9"/>
    </w:pPr>
    <w:rPr>
      <w:rFonts w:asciiTheme="majorHAnsi" w:eastAsiaTheme="majorEastAsia" w:hAnsiTheme="majorHAnsi" w:cstheme="majorBidi"/>
      <w:b w:val="0"/>
      <w:color w:val="2F5496" w:themeColor="accent1" w:themeShade="BF"/>
      <w:spacing w:val="0"/>
      <w:sz w:val="32"/>
      <w:szCs w:val="32"/>
      <w:lang w:val="en-US" w:eastAsia="en-US"/>
    </w:rPr>
  </w:style>
  <w:style w:type="paragraph" w:styleId="TOC1">
    <w:name w:val="toc 1"/>
    <w:basedOn w:val="Normal"/>
    <w:next w:val="Normal"/>
    <w:autoRedefine/>
    <w:uiPriority w:val="39"/>
    <w:unhideWhenUsed/>
    <w:rsid w:val="000713CA"/>
    <w:pPr>
      <w:spacing w:after="100"/>
    </w:pPr>
  </w:style>
  <w:style w:type="paragraph" w:styleId="TOC3">
    <w:name w:val="toc 3"/>
    <w:basedOn w:val="Normal"/>
    <w:next w:val="Normal"/>
    <w:autoRedefine/>
    <w:uiPriority w:val="39"/>
    <w:unhideWhenUsed/>
    <w:rsid w:val="000713CA"/>
    <w:pPr>
      <w:spacing w:after="100"/>
      <w:ind w:left="400"/>
    </w:pPr>
  </w:style>
  <w:style w:type="paragraph" w:styleId="TOC2">
    <w:name w:val="toc 2"/>
    <w:basedOn w:val="Normal"/>
    <w:next w:val="Normal"/>
    <w:autoRedefine/>
    <w:uiPriority w:val="39"/>
    <w:unhideWhenUsed/>
    <w:rsid w:val="000713CA"/>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56">
      <w:bodyDiv w:val="1"/>
      <w:marLeft w:val="0"/>
      <w:marRight w:val="0"/>
      <w:marTop w:val="0"/>
      <w:marBottom w:val="0"/>
      <w:divBdr>
        <w:top w:val="none" w:sz="0" w:space="0" w:color="auto"/>
        <w:left w:val="none" w:sz="0" w:space="0" w:color="auto"/>
        <w:bottom w:val="none" w:sz="0" w:space="0" w:color="auto"/>
        <w:right w:val="none" w:sz="0" w:space="0" w:color="auto"/>
      </w:divBdr>
    </w:div>
    <w:div w:id="199755790">
      <w:bodyDiv w:val="1"/>
      <w:marLeft w:val="0"/>
      <w:marRight w:val="0"/>
      <w:marTop w:val="0"/>
      <w:marBottom w:val="0"/>
      <w:divBdr>
        <w:top w:val="none" w:sz="0" w:space="0" w:color="auto"/>
        <w:left w:val="none" w:sz="0" w:space="0" w:color="auto"/>
        <w:bottom w:val="none" w:sz="0" w:space="0" w:color="auto"/>
        <w:right w:val="none" w:sz="0" w:space="0" w:color="auto"/>
      </w:divBdr>
    </w:div>
    <w:div w:id="209538464">
      <w:bodyDiv w:val="1"/>
      <w:marLeft w:val="0"/>
      <w:marRight w:val="0"/>
      <w:marTop w:val="0"/>
      <w:marBottom w:val="0"/>
      <w:divBdr>
        <w:top w:val="none" w:sz="0" w:space="0" w:color="auto"/>
        <w:left w:val="none" w:sz="0" w:space="0" w:color="auto"/>
        <w:bottom w:val="none" w:sz="0" w:space="0" w:color="auto"/>
        <w:right w:val="none" w:sz="0" w:space="0" w:color="auto"/>
      </w:divBdr>
    </w:div>
    <w:div w:id="224950013">
      <w:bodyDiv w:val="1"/>
      <w:marLeft w:val="0"/>
      <w:marRight w:val="0"/>
      <w:marTop w:val="0"/>
      <w:marBottom w:val="0"/>
      <w:divBdr>
        <w:top w:val="none" w:sz="0" w:space="0" w:color="auto"/>
        <w:left w:val="none" w:sz="0" w:space="0" w:color="auto"/>
        <w:bottom w:val="none" w:sz="0" w:space="0" w:color="auto"/>
        <w:right w:val="none" w:sz="0" w:space="0" w:color="auto"/>
      </w:divBdr>
    </w:div>
    <w:div w:id="331682126">
      <w:bodyDiv w:val="1"/>
      <w:marLeft w:val="0"/>
      <w:marRight w:val="0"/>
      <w:marTop w:val="0"/>
      <w:marBottom w:val="0"/>
      <w:divBdr>
        <w:top w:val="none" w:sz="0" w:space="0" w:color="auto"/>
        <w:left w:val="none" w:sz="0" w:space="0" w:color="auto"/>
        <w:bottom w:val="none" w:sz="0" w:space="0" w:color="auto"/>
        <w:right w:val="none" w:sz="0" w:space="0" w:color="auto"/>
      </w:divBdr>
    </w:div>
    <w:div w:id="617376302">
      <w:bodyDiv w:val="1"/>
      <w:marLeft w:val="0"/>
      <w:marRight w:val="0"/>
      <w:marTop w:val="0"/>
      <w:marBottom w:val="0"/>
      <w:divBdr>
        <w:top w:val="none" w:sz="0" w:space="0" w:color="auto"/>
        <w:left w:val="none" w:sz="0" w:space="0" w:color="auto"/>
        <w:bottom w:val="none" w:sz="0" w:space="0" w:color="auto"/>
        <w:right w:val="none" w:sz="0" w:space="0" w:color="auto"/>
      </w:divBdr>
    </w:div>
    <w:div w:id="795832244">
      <w:bodyDiv w:val="1"/>
      <w:marLeft w:val="0"/>
      <w:marRight w:val="0"/>
      <w:marTop w:val="0"/>
      <w:marBottom w:val="0"/>
      <w:divBdr>
        <w:top w:val="none" w:sz="0" w:space="0" w:color="auto"/>
        <w:left w:val="none" w:sz="0" w:space="0" w:color="auto"/>
        <w:bottom w:val="none" w:sz="0" w:space="0" w:color="auto"/>
        <w:right w:val="none" w:sz="0" w:space="0" w:color="auto"/>
      </w:divBdr>
    </w:div>
    <w:div w:id="805703384">
      <w:bodyDiv w:val="1"/>
      <w:marLeft w:val="0"/>
      <w:marRight w:val="0"/>
      <w:marTop w:val="0"/>
      <w:marBottom w:val="0"/>
      <w:divBdr>
        <w:top w:val="none" w:sz="0" w:space="0" w:color="auto"/>
        <w:left w:val="none" w:sz="0" w:space="0" w:color="auto"/>
        <w:bottom w:val="none" w:sz="0" w:space="0" w:color="auto"/>
        <w:right w:val="none" w:sz="0" w:space="0" w:color="auto"/>
      </w:divBdr>
    </w:div>
    <w:div w:id="904142831">
      <w:bodyDiv w:val="1"/>
      <w:marLeft w:val="0"/>
      <w:marRight w:val="0"/>
      <w:marTop w:val="0"/>
      <w:marBottom w:val="0"/>
      <w:divBdr>
        <w:top w:val="none" w:sz="0" w:space="0" w:color="auto"/>
        <w:left w:val="none" w:sz="0" w:space="0" w:color="auto"/>
        <w:bottom w:val="none" w:sz="0" w:space="0" w:color="auto"/>
        <w:right w:val="none" w:sz="0" w:space="0" w:color="auto"/>
      </w:divBdr>
    </w:div>
    <w:div w:id="1084453942">
      <w:bodyDiv w:val="1"/>
      <w:marLeft w:val="0"/>
      <w:marRight w:val="0"/>
      <w:marTop w:val="0"/>
      <w:marBottom w:val="0"/>
      <w:divBdr>
        <w:top w:val="none" w:sz="0" w:space="0" w:color="auto"/>
        <w:left w:val="none" w:sz="0" w:space="0" w:color="auto"/>
        <w:bottom w:val="none" w:sz="0" w:space="0" w:color="auto"/>
        <w:right w:val="none" w:sz="0" w:space="0" w:color="auto"/>
      </w:divBdr>
    </w:div>
    <w:div w:id="1097672072">
      <w:bodyDiv w:val="1"/>
      <w:marLeft w:val="0"/>
      <w:marRight w:val="0"/>
      <w:marTop w:val="0"/>
      <w:marBottom w:val="0"/>
      <w:divBdr>
        <w:top w:val="none" w:sz="0" w:space="0" w:color="auto"/>
        <w:left w:val="none" w:sz="0" w:space="0" w:color="auto"/>
        <w:bottom w:val="none" w:sz="0" w:space="0" w:color="auto"/>
        <w:right w:val="none" w:sz="0" w:space="0" w:color="auto"/>
      </w:divBdr>
    </w:div>
    <w:div w:id="1308050611">
      <w:bodyDiv w:val="1"/>
      <w:marLeft w:val="0"/>
      <w:marRight w:val="0"/>
      <w:marTop w:val="0"/>
      <w:marBottom w:val="0"/>
      <w:divBdr>
        <w:top w:val="none" w:sz="0" w:space="0" w:color="auto"/>
        <w:left w:val="none" w:sz="0" w:space="0" w:color="auto"/>
        <w:bottom w:val="none" w:sz="0" w:space="0" w:color="auto"/>
        <w:right w:val="none" w:sz="0" w:space="0" w:color="auto"/>
      </w:divBdr>
    </w:div>
    <w:div w:id="1618096778">
      <w:bodyDiv w:val="1"/>
      <w:marLeft w:val="0"/>
      <w:marRight w:val="0"/>
      <w:marTop w:val="0"/>
      <w:marBottom w:val="0"/>
      <w:divBdr>
        <w:top w:val="none" w:sz="0" w:space="0" w:color="auto"/>
        <w:left w:val="none" w:sz="0" w:space="0" w:color="auto"/>
        <w:bottom w:val="none" w:sz="0" w:space="0" w:color="auto"/>
        <w:right w:val="none" w:sz="0" w:space="0" w:color="auto"/>
      </w:divBdr>
    </w:div>
    <w:div w:id="1939095414">
      <w:bodyDiv w:val="1"/>
      <w:marLeft w:val="0"/>
      <w:marRight w:val="0"/>
      <w:marTop w:val="0"/>
      <w:marBottom w:val="0"/>
      <w:divBdr>
        <w:top w:val="none" w:sz="0" w:space="0" w:color="auto"/>
        <w:left w:val="none" w:sz="0" w:space="0" w:color="auto"/>
        <w:bottom w:val="none" w:sz="0" w:space="0" w:color="auto"/>
        <w:right w:val="none" w:sz="0" w:space="0" w:color="auto"/>
      </w:divBdr>
    </w:div>
    <w:div w:id="1947351424">
      <w:bodyDiv w:val="1"/>
      <w:marLeft w:val="0"/>
      <w:marRight w:val="0"/>
      <w:marTop w:val="0"/>
      <w:marBottom w:val="0"/>
      <w:divBdr>
        <w:top w:val="none" w:sz="0" w:space="0" w:color="auto"/>
        <w:left w:val="none" w:sz="0" w:space="0" w:color="auto"/>
        <w:bottom w:val="none" w:sz="0" w:space="0" w:color="auto"/>
        <w:right w:val="none" w:sz="0" w:space="0" w:color="auto"/>
      </w:divBdr>
    </w:div>
    <w:div w:id="20324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covid-19-novel-coronavirus/covid-19-vaccines/covid-19-vaccine-information-health-professionals/covid-19-vaccine-operating-and-planning-guidelines" TargetMode="External"/><Relationship Id="rId18" Type="http://schemas.openxmlformats.org/officeDocument/2006/relationships/hyperlink" Target="https://www.health.govt.nz/covid-19-novel-coronavirus/covid-19-vaccines/covid-19-vaccine-information-health-professionals/covid-19-vaccine-operating-and-planning-guid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help@c-19imms.min.health.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vid-19vaccine.cmail19.com/t/i-i-chrdjjt-l-r/" TargetMode="External"/><Relationship Id="rId20" Type="http://schemas.openxmlformats.org/officeDocument/2006/relationships/hyperlink" Target="mailto:help@c-19imms.min.health.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t.nz/covid-19-novel-coronavirus/covid-19-vaccines/covid-19-vaccine-information-health-professionals/covid-19-vaccine-operating-and-planning-guidelines" TargetMode="External"/><Relationship Id="rId5" Type="http://schemas.openxmlformats.org/officeDocument/2006/relationships/numbering" Target="numbering.xml"/><Relationship Id="rId15" Type="http://schemas.openxmlformats.org/officeDocument/2006/relationships/hyperlink" Target="mailto:help@c-19imms.min.health.nz" TargetMode="External"/><Relationship Id="rId23" Type="http://schemas.openxmlformats.org/officeDocument/2006/relationships/hyperlink" Target="mailto:NIP.incidentnotification@health.govt.nz" TargetMode="External"/><Relationship Id="rId10" Type="http://schemas.openxmlformats.org/officeDocument/2006/relationships/endnotes" Target="endnotes.xml"/><Relationship Id="rId19" Type="http://schemas.openxmlformats.org/officeDocument/2006/relationships/hyperlink" Target="https://www.connex.health.nz/group/QSLanding/cvip/Site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nex.health.nz/group/QSLanding/cvip/SitePages/Home.aspx"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258CB01D5AD47A3CA063BCE56445F" ma:contentTypeVersion="12" ma:contentTypeDescription="Create a new document." ma:contentTypeScope="" ma:versionID="463e22a1fece1e498be61460ae33fdcf">
  <xsd:schema xmlns:xsd="http://www.w3.org/2001/XMLSchema" xmlns:xs="http://www.w3.org/2001/XMLSchema" xmlns:p="http://schemas.microsoft.com/office/2006/metadata/properties" xmlns:ns2="d4c6fe1a-0fe3-451d-b9ee-5a18cb762014" xmlns:ns3="2e4b61e4-3351-4a26-b2fa-3d5e54b20131" xmlns:ns4="00a4df5b-51f4-4e7a-b755-8a381a6dfbc5" targetNamespace="http://schemas.microsoft.com/office/2006/metadata/properties" ma:root="true" ma:fieldsID="8dd880d73b0db7c9618d151859191673" ns2:_="" ns3:_="" ns4:_="">
    <xsd:import namespace="d4c6fe1a-0fe3-451d-b9ee-5a18cb762014"/>
    <xsd:import namespace="2e4b61e4-3351-4a26-b2fa-3d5e54b20131"/>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fe1a-0fe3-451d-b9ee-5a18cb76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b61e4-3351-4a26-b2fa-3d5e54b20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f47b5b-aaf1-4f2c-a5d8-33e1a5331de9}" ma:internalName="TaxCatchAll" ma:showField="CatchAllData" ma:web="2e4b61e4-3351-4a26-b2fa-3d5e54b20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a4df5b-51f4-4e7a-b755-8a381a6dfbc5" xsi:nil="true"/>
    <lcf76f155ced4ddcb4097134ff3c332f xmlns="d4c6fe1a-0fe3-451d-b9ee-5a18cb7620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62476-1319-4C9C-BE52-4D4BC7CB483A}">
  <ds:schemaRefs>
    <ds:schemaRef ds:uri="http://schemas.microsoft.com/sharepoint/v3/contenttype/forms"/>
  </ds:schemaRefs>
</ds:datastoreItem>
</file>

<file path=customXml/itemProps2.xml><?xml version="1.0" encoding="utf-8"?>
<ds:datastoreItem xmlns:ds="http://schemas.openxmlformats.org/officeDocument/2006/customXml" ds:itemID="{2B6F2605-84C3-449A-BFCC-FD3A69ED61A8}">
  <ds:schemaRefs>
    <ds:schemaRef ds:uri="http://schemas.openxmlformats.org/officeDocument/2006/bibliography"/>
  </ds:schemaRefs>
</ds:datastoreItem>
</file>

<file path=customXml/itemProps3.xml><?xml version="1.0" encoding="utf-8"?>
<ds:datastoreItem xmlns:ds="http://schemas.openxmlformats.org/officeDocument/2006/customXml" ds:itemID="{752B730E-20BB-4D33-A9B0-D55F5C77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fe1a-0fe3-451d-b9ee-5a18cb762014"/>
    <ds:schemaRef ds:uri="2e4b61e4-3351-4a26-b2fa-3d5e54b20131"/>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EA355-1266-418A-903A-9DF57A576421}">
  <ds:schemaRefs>
    <ds:schemaRef ds:uri="http://schemas.microsoft.com/office/2006/metadata/properties"/>
    <ds:schemaRef ds:uri="http://schemas.microsoft.com/office/infopath/2007/PartnerControls"/>
    <ds:schemaRef ds:uri="00a4df5b-51f4-4e7a-b755-8a381a6dfbc5"/>
    <ds:schemaRef ds:uri="d4c6fe1a-0fe3-451d-b9ee-5a18cb762014"/>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Links>
    <vt:vector size="60" baseType="variant">
      <vt:variant>
        <vt:i4>7471212</vt:i4>
      </vt:variant>
      <vt:variant>
        <vt:i4>33</vt:i4>
      </vt:variant>
      <vt:variant>
        <vt:i4>0</vt:i4>
      </vt:variant>
      <vt:variant>
        <vt:i4>5</vt:i4>
      </vt:variant>
      <vt:variant>
        <vt:lpwstr>https://www.health.govt.nz/covid-19-novel-coronavirus/covid-19-vaccines/covid-19-vaccine-information-health-professionals/covid-19-vaccine-operating-and-planning-guidelines</vt:lpwstr>
      </vt:variant>
      <vt:variant>
        <vt:lpwstr>operate</vt:lpwstr>
      </vt:variant>
      <vt:variant>
        <vt:i4>1835060</vt:i4>
      </vt:variant>
      <vt:variant>
        <vt:i4>30</vt:i4>
      </vt:variant>
      <vt:variant>
        <vt:i4>0</vt:i4>
      </vt:variant>
      <vt:variant>
        <vt:i4>5</vt:i4>
      </vt:variant>
      <vt:variant>
        <vt:lpwstr>mailto:NIP.incidentnotification@health.govt.nz</vt:lpwstr>
      </vt:variant>
      <vt:variant>
        <vt:lpwstr/>
      </vt:variant>
      <vt:variant>
        <vt:i4>393327</vt:i4>
      </vt:variant>
      <vt:variant>
        <vt:i4>21</vt:i4>
      </vt:variant>
      <vt:variant>
        <vt:i4>0</vt:i4>
      </vt:variant>
      <vt:variant>
        <vt:i4>5</vt:i4>
      </vt:variant>
      <vt:variant>
        <vt:lpwstr>mailto:help@c-19imms.min.health.nz</vt:lpwstr>
      </vt:variant>
      <vt:variant>
        <vt:lpwstr/>
      </vt:variant>
      <vt:variant>
        <vt:i4>262148</vt:i4>
      </vt:variant>
      <vt:variant>
        <vt:i4>18</vt:i4>
      </vt:variant>
      <vt:variant>
        <vt:i4>0</vt:i4>
      </vt:variant>
      <vt:variant>
        <vt:i4>5</vt:i4>
      </vt:variant>
      <vt:variant>
        <vt:lpwstr>https://www.connex.health.nz/group/QSLanding/cvip/SitePages/Home.aspx</vt:lpwstr>
      </vt:variant>
      <vt:variant>
        <vt:lpwstr/>
      </vt:variant>
      <vt:variant>
        <vt:i4>262151</vt:i4>
      </vt:variant>
      <vt:variant>
        <vt:i4>15</vt:i4>
      </vt:variant>
      <vt:variant>
        <vt:i4>0</vt:i4>
      </vt:variant>
      <vt:variant>
        <vt:i4>5</vt:i4>
      </vt:variant>
      <vt:variant>
        <vt:lpwstr>https://www.health.govt.nz/covid-19-novel-coronavirus/covid-19-vaccines/covid-19-vaccine-information-health-professionals/covid-19-vaccine-operating-and-planning-guidelines</vt:lpwstr>
      </vt:variant>
      <vt:variant>
        <vt:lpwstr/>
      </vt:variant>
      <vt:variant>
        <vt:i4>393327</vt:i4>
      </vt:variant>
      <vt:variant>
        <vt:i4>12</vt:i4>
      </vt:variant>
      <vt:variant>
        <vt:i4>0</vt:i4>
      </vt:variant>
      <vt:variant>
        <vt:i4>5</vt:i4>
      </vt:variant>
      <vt:variant>
        <vt:lpwstr>mailto:help@c-19imms.min.health.nz</vt:lpwstr>
      </vt:variant>
      <vt:variant>
        <vt:lpwstr/>
      </vt:variant>
      <vt:variant>
        <vt:i4>8126501</vt:i4>
      </vt:variant>
      <vt:variant>
        <vt:i4>9</vt:i4>
      </vt:variant>
      <vt:variant>
        <vt:i4>0</vt:i4>
      </vt:variant>
      <vt:variant>
        <vt:i4>5</vt:i4>
      </vt:variant>
      <vt:variant>
        <vt:lpwstr>https://covid-19vaccine.cmail19.com/t/i-i-chrdjjt-l-r/</vt:lpwstr>
      </vt:variant>
      <vt:variant>
        <vt:lpwstr/>
      </vt:variant>
      <vt:variant>
        <vt:i4>393327</vt:i4>
      </vt:variant>
      <vt:variant>
        <vt:i4>6</vt:i4>
      </vt:variant>
      <vt:variant>
        <vt:i4>0</vt:i4>
      </vt:variant>
      <vt:variant>
        <vt:i4>5</vt:i4>
      </vt:variant>
      <vt:variant>
        <vt:lpwstr>mailto:help@c-19imms.min.health.nz</vt:lpwstr>
      </vt:variant>
      <vt:variant>
        <vt:lpwstr/>
      </vt:variant>
      <vt:variant>
        <vt:i4>262148</vt:i4>
      </vt:variant>
      <vt:variant>
        <vt:i4>3</vt:i4>
      </vt:variant>
      <vt:variant>
        <vt:i4>0</vt:i4>
      </vt:variant>
      <vt:variant>
        <vt:i4>5</vt:i4>
      </vt:variant>
      <vt:variant>
        <vt:lpwstr>https://www.connex.health.nz/group/QSLanding/cvip/SitePages/Home.aspx</vt:lpwstr>
      </vt:variant>
      <vt:variant>
        <vt:lpwstr/>
      </vt:variant>
      <vt:variant>
        <vt:i4>262151</vt:i4>
      </vt:variant>
      <vt:variant>
        <vt:i4>0</vt:i4>
      </vt:variant>
      <vt:variant>
        <vt:i4>0</vt:i4>
      </vt:variant>
      <vt:variant>
        <vt:i4>5</vt:i4>
      </vt:variant>
      <vt:variant>
        <vt:lpwstr>https://www.health.govt.nz/covid-19-novel-coronavirus/covid-19-vaccines/covid-19-vaccine-information-health-professionals/covid-19-vaccine-operating-and-planning-guidelines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Chia-Wei Jao</dc:creator>
  <cp:keywords/>
  <dc:description/>
  <cp:lastModifiedBy>Chia-Wei Jao</cp:lastModifiedBy>
  <cp:revision>24</cp:revision>
  <cp:lastPrinted>2022-05-06T16:30:00Z</cp:lastPrinted>
  <dcterms:created xsi:type="dcterms:W3CDTF">2022-07-28T09:58:00Z</dcterms:created>
  <dcterms:modified xsi:type="dcterms:W3CDTF">2022-08-01T00:33:00Z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0x010100E38258CB01D5AD47A3CA063BCE56445F</vt:lpwstr>
  </property>
  <property fmtid="{D5CDD505-2E9C-101B-9397-08002B2CF9AE}" pid="3" name="MediaServiceImageTags">
    <vt:lpwstr/>
  </property>
</Properties>
</file>